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lang w:val="en-US" w:eastAsia="zh-CN"/>
        </w:rPr>
        <w:t>理财</w:t>
      </w:r>
      <w:r>
        <w:rPr>
          <w:rFonts w:hint="eastAsia" w:ascii="黑体" w:eastAsia="黑体"/>
          <w:b/>
          <w:bCs/>
          <w:color w:val="000000"/>
          <w:sz w:val="30"/>
          <w:szCs w:val="30"/>
          <w:highlight w:val="none"/>
        </w:rPr>
        <w:t>产品</w:t>
      </w:r>
      <w:r>
        <w:rPr>
          <w:rFonts w:ascii="黑体" w:eastAsia="黑体"/>
          <w:b/>
          <w:bCs/>
          <w:color w:val="000000"/>
          <w:sz w:val="30"/>
          <w:szCs w:val="30"/>
          <w:highlight w:val="none"/>
        </w:rPr>
        <w:t>说明书</w:t>
      </w:r>
    </w:p>
    <w:p>
      <w:pPr>
        <w:pStyle w:val="3"/>
        <w:ind w:leftChars="0"/>
        <w:rPr>
          <w:rFonts w:ascii="楷体_GB2312" w:eastAsia="楷体_GB2312"/>
          <w:b/>
          <w:color w:val="000000"/>
          <w:sz w:val="24"/>
          <w:szCs w:val="24"/>
          <w:highlight w:val="none"/>
        </w:rPr>
      </w:pPr>
      <w:r>
        <w:rPr>
          <w:rFonts w:hint="eastAsia" w:ascii="楷体_GB2312" w:eastAsia="楷体_GB2312"/>
          <w:b/>
          <w:color w:val="000000"/>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ascii="楷体_GB2312" w:hAnsi="宋体" w:eastAsia="楷体_GB2312"/>
          <w:color w:val="000000"/>
          <w:sz w:val="24"/>
        </w:rPr>
        <w:t>北京银行股份有限公司（以下简称“北京银行”）</w:t>
      </w:r>
      <w:r>
        <w:rPr>
          <w:rFonts w:ascii="楷体_GB2312" w:hAnsi="宋体" w:eastAsia="楷体_GB2312"/>
          <w:color w:val="auto"/>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w:t>
      </w:r>
      <w:r>
        <w:rPr>
          <w:rFonts w:hint="eastAsia" w:ascii="楷体_GB2312" w:hAnsi="宋体" w:eastAsia="楷体_GB2312"/>
          <w:color w:val="000000"/>
          <w:sz w:val="24"/>
          <w:highlight w:val="none"/>
          <w:lang w:val="en-US" w:eastAsia="zh-CN"/>
        </w:rPr>
        <w:t>指</w:t>
      </w:r>
      <w:r>
        <w:rPr>
          <w:rFonts w:hint="eastAsia" w:ascii="楷体_GB2312" w:hAnsi="宋体" w:eastAsia="楷体_GB2312"/>
          <w:color w:val="000000"/>
          <w:sz w:val="24"/>
          <w:lang w:eastAsia="zh-CN"/>
        </w:rPr>
        <w:t>北银理财丰收系列京华远见春系列诚享</w:t>
      </w:r>
      <w:permStart w:id="2" w:edGrp="everyone"/>
      <w:r>
        <w:rPr>
          <w:rFonts w:hint="eastAsia" w:ascii="楷体_GB2312" w:hAnsi="宋体" w:eastAsia="楷体_GB2312"/>
          <w:color w:val="000000"/>
          <w:sz w:val="24"/>
          <w:lang w:val="en-US" w:eastAsia="zh-CN"/>
        </w:rPr>
        <w:t>7</w:t>
      </w:r>
      <w:permEnd w:id="2"/>
      <w:r>
        <w:rPr>
          <w:rFonts w:hint="eastAsia" w:ascii="楷体_GB2312" w:hAnsi="宋体" w:eastAsia="楷体_GB2312"/>
          <w:color w:val="000000"/>
          <w:sz w:val="24"/>
          <w:lang w:eastAsia="zh-CN"/>
        </w:rPr>
        <w:t>天持有期</w:t>
      </w:r>
      <w:permStart w:id="3" w:edGrp="everyone"/>
      <w:r>
        <w:rPr>
          <w:rFonts w:hint="eastAsia" w:ascii="楷体_GB2312" w:hAnsi="宋体" w:eastAsia="楷体_GB2312"/>
          <w:color w:val="000000"/>
          <w:sz w:val="24"/>
          <w:lang w:val="en-US" w:eastAsia="zh-CN"/>
        </w:rPr>
        <w:t>1</w:t>
      </w:r>
      <w:permEnd w:id="3"/>
      <w:r>
        <w:rPr>
          <w:rFonts w:hint="eastAsia" w:ascii="楷体_GB2312" w:hAnsi="宋体" w:eastAsia="楷体_GB2312"/>
          <w:color w:val="000000"/>
          <w:sz w:val="24"/>
          <w:lang w:eastAsia="zh-CN"/>
        </w:rPr>
        <w:t>号理财产品</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：指产品资产总值减去产品负债总值后的净值。产品资产总值是指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本理财产品份额的单位净值，即每1份理财产品份额以人民币计价的价格。理财产品单位净值=当日产品资产净值/当日产品份额总额，单位净值保留至小数点后六位（舍位法），小数点后第七位及之后数值舍去（不进行四舍五入）。投资者按理财产品单位净值进行本理财产品的认（申）购和赎回。</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产品份额累计净值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5" w:firstLineChars="193"/>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9</w:t>
      </w:r>
      <w:r>
        <w:rPr>
          <w:rFonts w:hint="eastAsia" w:ascii="楷体_GB2312" w:hAnsi="宋体" w:eastAsia="楷体_GB2312"/>
          <w:b/>
          <w:bCs/>
          <w:color w:val="000000"/>
          <w:sz w:val="24"/>
          <w:highlight w:val="none"/>
        </w:rPr>
        <w:t>.业绩比较基准：</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w:t>
      </w:r>
      <w:r>
        <w:rPr>
          <w:rFonts w:hint="eastAsia" w:ascii="楷体_GB2312" w:hAnsi="宋体" w:eastAsia="楷体_GB2312"/>
          <w:color w:val="000000"/>
          <w:sz w:val="24"/>
          <w:highlight w:val="none"/>
          <w:lang w:val="en-US" w:eastAsia="zh-CN"/>
        </w:rPr>
        <w:t>产品性质、投资策略、</w:t>
      </w:r>
      <w:r>
        <w:rPr>
          <w:rFonts w:hint="eastAsia" w:ascii="楷体_GB2312" w:hAnsi="宋体" w:eastAsia="楷体_GB2312"/>
          <w:color w:val="000000"/>
          <w:sz w:val="24"/>
          <w:highlight w:val="none"/>
        </w:rPr>
        <w:t>过往投资经验及对产品存续期投资市场波动的预判而对本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产品所设定的投资目标。</w:t>
      </w:r>
      <w:r>
        <w:rPr>
          <w:rFonts w:hint="eastAsia" w:ascii="楷体_GB2312" w:hAnsi="宋体" w:eastAsia="楷体_GB2312"/>
          <w:b/>
          <w:bCs/>
          <w:color w:val="000000"/>
          <w:sz w:val="24"/>
          <w:highlight w:val="none"/>
        </w:rPr>
        <w:t>业绩比较基准</w:t>
      </w:r>
      <w:r>
        <w:rPr>
          <w:rFonts w:hint="eastAsia" w:ascii="楷体_GB2312" w:hAnsi="宋体" w:eastAsia="楷体_GB2312"/>
          <w:b/>
          <w:bCs/>
          <w:color w:val="000000"/>
          <w:sz w:val="24"/>
          <w:highlight w:val="none"/>
          <w:lang w:val="en-US" w:eastAsia="zh-CN"/>
        </w:rPr>
        <w:t>不是预期收益率，</w:t>
      </w:r>
      <w:r>
        <w:rPr>
          <w:rFonts w:hint="eastAsia" w:ascii="楷体_GB2312" w:hAnsi="宋体" w:eastAsia="楷体_GB2312"/>
          <w:b/>
          <w:bCs/>
          <w:color w:val="000000"/>
          <w:sz w:val="24"/>
          <w:highlight w:val="none"/>
        </w:rPr>
        <w:t>不代表本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产品的未来表现和实际收益，不</w:t>
      </w:r>
      <w:r>
        <w:rPr>
          <w:rFonts w:hint="eastAsia" w:ascii="楷体_GB2312" w:hAnsi="宋体" w:eastAsia="楷体_GB2312"/>
          <w:b/>
          <w:bCs/>
          <w:color w:val="000000"/>
          <w:sz w:val="24"/>
          <w:highlight w:val="none"/>
          <w:lang w:val="en-US" w:eastAsia="zh-CN"/>
        </w:rPr>
        <w:t>构成产品</w:t>
      </w:r>
      <w:r>
        <w:rPr>
          <w:rFonts w:hint="eastAsia" w:ascii="楷体_GB2312" w:hAnsi="宋体" w:eastAsia="楷体_GB2312"/>
          <w:b/>
          <w:bCs/>
          <w:color w:val="000000"/>
          <w:sz w:val="24"/>
          <w:highlight w:val="none"/>
        </w:rPr>
        <w:t>管理人对本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产品进行的收益承诺，投资须谨慎。</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default" w:ascii="楷体_GB2312" w:hAnsi="宋体" w:eastAsia="楷体_GB2312"/>
          <w:color w:val="000000"/>
          <w:sz w:val="24"/>
          <w:highlight w:val="none"/>
          <w:lang w:val="en-US" w:eastAsia="zh-CN"/>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且本理财产品</w:t>
      </w:r>
      <w:r>
        <w:rPr>
          <w:rFonts w:hint="eastAsia" w:ascii="楷体_GB2312" w:hAnsi="宋体" w:eastAsia="楷体_GB2312"/>
          <w:color w:val="000000"/>
          <w:sz w:val="24"/>
          <w:highlight w:val="none"/>
        </w:rPr>
        <w:t>投资者提出赎回申请</w:t>
      </w:r>
      <w:r>
        <w:rPr>
          <w:rFonts w:hint="eastAsia" w:ascii="楷体_GB2312" w:hAnsi="宋体" w:eastAsia="楷体_GB2312"/>
          <w:color w:val="000000"/>
          <w:sz w:val="24"/>
          <w:highlight w:val="none"/>
          <w:lang w:val="en-US" w:eastAsia="zh-CN"/>
        </w:rPr>
        <w:t>应满足</w:t>
      </w:r>
      <w:r>
        <w:rPr>
          <w:rFonts w:hint="eastAsia" w:ascii="楷体_GB2312" w:hAnsi="宋体" w:eastAsia="楷体_GB2312"/>
          <w:color w:val="000000"/>
          <w:sz w:val="24"/>
          <w:highlight w:val="none"/>
        </w:rPr>
        <w:t>每笔认购/申购的产品份额</w:t>
      </w:r>
      <w:r>
        <w:rPr>
          <w:rFonts w:hint="eastAsia" w:ascii="楷体_GB2312" w:hAnsi="宋体" w:eastAsia="楷体_GB2312"/>
          <w:color w:val="000000"/>
          <w:sz w:val="24"/>
          <w:highlight w:val="none"/>
          <w:lang w:val="en-US" w:eastAsia="zh-CN"/>
        </w:rPr>
        <w:t>的最低持有期限要求。</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s="Times New Roman"/>
          <w:color w:val="000000"/>
          <w:sz w:val="24"/>
          <w:highlight w:val="none"/>
          <w:u w:val="none"/>
          <w:lang w:val="en-US" w:eastAsia="zh-CN"/>
        </w:rPr>
      </w:pPr>
      <w:r>
        <w:rPr>
          <w:rFonts w:hint="eastAsia" w:ascii="楷体_GB2312" w:hAnsi="宋体" w:eastAsia="楷体_GB2312" w:cs="Times New Roman"/>
          <w:color w:val="000000"/>
          <w:sz w:val="24"/>
          <w:highlight w:val="none"/>
          <w:u w:val="none"/>
          <w:lang w:val="en-US" w:eastAsia="zh-CN"/>
        </w:rPr>
        <w:t>7</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default" w:ascii="楷体_GB2312" w:hAnsi="宋体" w:eastAsia="楷体_GB2312" w:cs="Times New Roman"/>
          <w:color w:val="auto"/>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楷体" w:eastAsia="楷体_GB2312"/>
          <w:sz w:val="24"/>
          <w:highlight w:val="none"/>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.最低持有期：指</w:t>
      </w:r>
      <w:r>
        <w:rPr>
          <w:rFonts w:hint="eastAsia" w:ascii="楷体_GB2312" w:hAnsi="宋体" w:eastAsia="楷体_GB2312"/>
          <w:color w:val="000000"/>
          <w:sz w:val="24"/>
          <w:highlight w:val="none"/>
          <w:lang w:val="en-US" w:eastAsia="zh-CN"/>
        </w:rPr>
        <w:t>本理财产品对投资者每笔有效认购/申购的产品份额设置的最低持有期限。投资者可在每笔认购/申购的产品份额确认后于最低持有期结束日（含）及后续每个开放日提出赎回申请。最低持有期结束日如遇非开放日，则顺延至下一开放日。详见本《理财产品说明书》“</w:t>
      </w:r>
      <w:r>
        <w:rPr>
          <w:rFonts w:hint="eastAsia" w:ascii="楷体_GB2312" w:hAnsi="宋体" w:eastAsia="楷体_GB2312"/>
          <w:color w:val="000000"/>
          <w:sz w:val="24"/>
          <w:highlight w:val="none"/>
        </w:rPr>
        <w:t>三、产品概况和基本要素</w:t>
      </w:r>
      <w:r>
        <w:rPr>
          <w:rFonts w:hint="eastAsia" w:ascii="楷体_GB2312" w:hAnsi="宋体" w:eastAsia="楷体_GB2312"/>
          <w:color w:val="000000"/>
          <w:sz w:val="24"/>
          <w:highlight w:val="none"/>
          <w:lang w:val="en-US" w:eastAsia="zh-CN"/>
        </w:rPr>
        <w:t>”部分。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31"/>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rFonts w:ascii="楷体_GB2312" w:eastAsia="楷体_GB2312"/>
          <w:b/>
          <w:color w:val="000000"/>
          <w:sz w:val="24"/>
          <w:szCs w:val="24"/>
        </w:rPr>
      </w:pPr>
      <w:r>
        <w:rPr>
          <w:rFonts w:hint="eastAsia" w:ascii="楷体_GB2312" w:hAnsi="宋体" w:eastAsia="楷体_GB2312"/>
          <w:b/>
          <w:bCs/>
          <w:color w:val="auto"/>
          <w:sz w:val="24"/>
          <w:highlight w:val="none"/>
        </w:rPr>
        <w:t>★</w:t>
      </w:r>
      <w:r>
        <w:rPr>
          <w:rFonts w:hint="eastAsia" w:ascii="楷体_GB2312" w:eastAsia="楷体_GB2312"/>
          <w:b/>
          <w:color w:val="000000"/>
          <w:sz w:val="24"/>
          <w:szCs w:val="24"/>
        </w:rPr>
        <w:t>三、产品概况和基本要素</w:t>
      </w:r>
    </w:p>
    <w:tbl>
      <w:tblPr>
        <w:tblStyle w:val="16"/>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51"/>
        <w:gridCol w:w="66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color w:val="000000"/>
                <w:sz w:val="24"/>
              </w:rPr>
            </w:pPr>
            <w:r>
              <w:rPr>
                <w:rFonts w:hint="eastAsia" w:ascii="楷体_GB2312" w:eastAsia="楷体_GB2312"/>
                <w:bCs/>
                <w:color w:val="000000"/>
                <w:sz w:val="24"/>
              </w:rPr>
              <w:t>产品名称</w:t>
            </w:r>
          </w:p>
        </w:tc>
        <w:tc>
          <w:tcPr>
            <w:tcW w:w="6633" w:type="dxa"/>
            <w:vAlign w:val="center"/>
          </w:tcPr>
          <w:p>
            <w:pPr>
              <w:rPr>
                <w:rFonts w:hint="eastAsia" w:ascii="楷体_GB2312" w:hAnsi="宋体" w:eastAsia="楷体_GB2312"/>
                <w:color w:val="000000"/>
                <w:sz w:val="24"/>
                <w:lang w:eastAsia="zh-CN"/>
              </w:rPr>
            </w:pPr>
            <w:r>
              <w:rPr>
                <w:rFonts w:hint="eastAsia" w:ascii="楷体_GB2312" w:hAnsi="宋体" w:eastAsia="楷体_GB2312"/>
                <w:color w:val="auto"/>
                <w:sz w:val="24"/>
                <w:lang w:eastAsia="zh-CN"/>
              </w:rPr>
              <w:t>北银理财丰收系列京华远见春系列诚享</w:t>
            </w:r>
            <w:permStart w:id="4" w:edGrp="everyone"/>
            <w:r>
              <w:rPr>
                <w:rFonts w:hint="eastAsia" w:ascii="楷体_GB2312" w:hAnsi="宋体" w:eastAsia="楷体_GB2312"/>
                <w:color w:val="auto"/>
                <w:sz w:val="24"/>
                <w:lang w:val="en-US" w:eastAsia="zh-CN"/>
              </w:rPr>
              <w:t>7</w:t>
            </w:r>
            <w:permEnd w:id="4"/>
            <w:r>
              <w:rPr>
                <w:rFonts w:hint="eastAsia" w:ascii="楷体_GB2312" w:hAnsi="宋体" w:eastAsia="楷体_GB2312"/>
                <w:color w:val="auto"/>
                <w:sz w:val="24"/>
                <w:lang w:eastAsia="zh-CN"/>
              </w:rPr>
              <w:t>天持有期</w:t>
            </w:r>
            <w:permStart w:id="5" w:edGrp="everyone"/>
            <w:r>
              <w:rPr>
                <w:rFonts w:hint="eastAsia" w:ascii="楷体_GB2312" w:hAnsi="宋体" w:eastAsia="楷体_GB2312"/>
                <w:color w:val="auto"/>
                <w:sz w:val="24"/>
                <w:lang w:val="en-US" w:eastAsia="zh-CN"/>
              </w:rPr>
              <w:t>1</w:t>
            </w:r>
            <w:permEnd w:id="5"/>
            <w:r>
              <w:rPr>
                <w:rFonts w:hint="eastAsia" w:ascii="楷体_GB2312" w:hAnsi="宋体" w:eastAsia="楷体_GB2312"/>
                <w:color w:val="auto"/>
                <w:sz w:val="24"/>
                <w:lang w:eastAsia="zh-CN"/>
              </w:rPr>
              <w:t>号理财产品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产品销售名称</w:t>
            </w:r>
          </w:p>
        </w:tc>
        <w:tc>
          <w:tcPr>
            <w:tcW w:w="6633" w:type="dxa"/>
            <w:vAlign w:val="top"/>
          </w:tcPr>
          <w:p>
            <w:pPr>
              <w:rPr>
                <w:rFonts w:hint="eastAsia" w:ascii="楷体_GB2312" w:hAnsi="宋体" w:eastAsia="楷体_GB2312"/>
                <w:color w:val="auto"/>
                <w:sz w:val="24"/>
                <w:lang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A类</w:t>
            </w:r>
            <w:r>
              <w:rPr>
                <w:rFonts w:hint="eastAsia" w:ascii="楷体_GB2312" w:hAnsi="宋体" w:eastAsia="楷体_GB2312"/>
                <w:color w:val="auto"/>
                <w:sz w:val="24"/>
                <w:lang w:eastAsia="zh-CN"/>
              </w:rPr>
              <w:t>份额</w:t>
            </w:r>
          </w:p>
          <w:p>
            <w:pPr>
              <w:rPr>
                <w:rFonts w:hint="eastAsia" w:ascii="楷体_GB2312" w:hAnsi="宋体" w:eastAsia="楷体_GB2312"/>
                <w:color w:val="auto"/>
                <w:sz w:val="24"/>
                <w:lang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B类</w:t>
            </w:r>
            <w:r>
              <w:rPr>
                <w:rFonts w:hint="eastAsia" w:ascii="楷体_GB2312" w:hAnsi="宋体" w:eastAsia="楷体_GB2312"/>
                <w:color w:val="auto"/>
                <w:sz w:val="24"/>
                <w:lang w:eastAsia="zh-CN"/>
              </w:rPr>
              <w:t>份额</w:t>
            </w:r>
          </w:p>
          <w:p>
            <w:pPr>
              <w:rPr>
                <w:rFonts w:hint="eastAsia" w:eastAsia="楷体_GB2312"/>
                <w:color w:val="C00000"/>
                <w:lang w:val="en-US" w:eastAsia="zh-CN"/>
              </w:rPr>
            </w:pPr>
            <w:r>
              <w:rPr>
                <w:rFonts w:hint="eastAsia" w:ascii="楷体_GB2312" w:eastAsia="楷体_GB2312"/>
                <w:bCs/>
                <w:color w:val="auto"/>
                <w:sz w:val="24"/>
                <w:highlight w:val="none"/>
                <w:lang w:val="en-US" w:eastAsia="zh-CN"/>
              </w:rPr>
              <w:t>浙BA类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浙BA类</w:t>
            </w:r>
            <w:r>
              <w:rPr>
                <w:rFonts w:hint="eastAsia" w:ascii="楷体_GB2312" w:hAnsi="宋体" w:eastAsia="楷体_GB2312"/>
                <w:color w:val="auto"/>
                <w:sz w:val="24"/>
                <w:lang w:eastAsia="zh-CN"/>
              </w:rPr>
              <w:t>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产品代码</w:t>
            </w:r>
          </w:p>
        </w:tc>
        <w:tc>
          <w:tcPr>
            <w:tcW w:w="6633" w:type="dxa"/>
            <w:vAlign w:val="top"/>
          </w:tcPr>
          <w:p>
            <w:pPr>
              <w:rPr>
                <w:rFonts w:hint="eastAsia" w:ascii="楷体_GB2312" w:hAnsi="宋体" w:eastAsia="楷体_GB2312"/>
                <w:color w:val="C00000"/>
                <w:sz w:val="24"/>
                <w:lang w:eastAsia="zh-CN"/>
              </w:rPr>
            </w:pPr>
            <w:r>
              <w:rPr>
                <w:rFonts w:hint="eastAsia" w:ascii="楷体_GB2312" w:eastAsia="楷体_GB2312" w:cs="Times New Roman"/>
                <w:bCs/>
                <w:color w:val="auto"/>
                <w:sz w:val="24"/>
                <w:highlight w:val="none"/>
                <w:lang w:eastAsia="zh-CN"/>
              </w:rPr>
              <w:t>YJ01250495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产品销售代码</w:t>
            </w:r>
          </w:p>
        </w:tc>
        <w:tc>
          <w:tcPr>
            <w:tcW w:w="6633" w:type="dxa"/>
            <w:vAlign w:val="top"/>
          </w:tcPr>
          <w:p>
            <w:pPr>
              <w:rPr>
                <w:rFonts w:hint="eastAsia" w:ascii="楷体_GB2312" w:eastAsia="楷体_GB2312" w:cs="Times New Roman"/>
                <w:bCs/>
                <w:color w:val="auto"/>
                <w:sz w:val="24"/>
                <w:highlight w:val="none"/>
                <w:lang w:val="en-US" w:eastAsia="zh-CN"/>
              </w:rPr>
            </w:pPr>
            <w:r>
              <w:rPr>
                <w:rFonts w:hint="eastAsia" w:ascii="楷体_GB2312" w:hAnsi="宋体" w:eastAsia="楷体_GB2312"/>
                <w:color w:val="auto"/>
                <w:sz w:val="24"/>
                <w:lang w:val="en-US" w:eastAsia="zh-CN"/>
              </w:rPr>
              <w:t>A类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A</w:t>
            </w:r>
          </w:p>
          <w:p>
            <w:pPr>
              <w:rPr>
                <w:rFonts w:hint="eastAsia" w:ascii="楷体_GB2312" w:eastAsia="楷体_GB2312" w:cs="Times New Roman"/>
                <w:bCs/>
                <w:color w:val="auto"/>
                <w:sz w:val="24"/>
                <w:highlight w:val="none"/>
                <w:lang w:val="en-US" w:eastAsia="zh-CN"/>
              </w:rPr>
            </w:pPr>
            <w:r>
              <w:rPr>
                <w:rFonts w:hint="eastAsia" w:ascii="楷体_GB2312" w:hAnsi="宋体" w:eastAsia="楷体_GB2312"/>
                <w:color w:val="auto"/>
                <w:sz w:val="24"/>
                <w:lang w:val="en-US" w:eastAsia="zh-CN"/>
              </w:rPr>
              <w:t>B类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B</w:t>
            </w:r>
          </w:p>
          <w:p>
            <w:pPr>
              <w:rPr>
                <w:rFonts w:hint="default" w:eastAsia="楷体_GB2312"/>
                <w:color w:val="C00000"/>
                <w:lang w:val="en-US" w:eastAsia="zh-CN"/>
              </w:rPr>
            </w:pPr>
            <w:r>
              <w:rPr>
                <w:rFonts w:hint="eastAsia" w:ascii="楷体_GB2312" w:hAnsi="宋体" w:eastAsia="楷体_GB2312"/>
                <w:color w:val="auto"/>
                <w:sz w:val="24"/>
                <w:lang w:val="en-US" w:eastAsia="zh-CN"/>
              </w:rPr>
              <w:t>浙BA类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ZBA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产品登记编码</w:t>
            </w:r>
          </w:p>
        </w:tc>
        <w:tc>
          <w:tcPr>
            <w:tcW w:w="6633" w:type="dxa"/>
            <w:vAlign w:val="top"/>
          </w:tcPr>
          <w:p>
            <w:pPr>
              <w:rPr>
                <w:rFonts w:hint="default" w:ascii="楷体_GB2312" w:hAnsi="宋体" w:eastAsia="楷体_GB2312" w:cs="Times New Roman"/>
                <w:color w:val="000000"/>
                <w:sz w:val="24"/>
                <w:lang w:val="en-US" w:eastAsia="zh-CN"/>
              </w:rPr>
            </w:pPr>
            <w:r>
              <w:rPr>
                <w:rFonts w:hint="eastAsia" w:ascii="楷体_GB2312" w:hAnsi="宋体" w:eastAsia="楷体_GB2312"/>
                <w:color w:val="000000"/>
                <w:sz w:val="24"/>
              </w:rPr>
              <w:t>产品登记编码：Z7008925000252</w:t>
            </w:r>
          </w:p>
          <w:p>
            <w:pPr>
              <w:rPr>
                <w:rFonts w:ascii="楷体_GB2312" w:hAnsi="宋体" w:eastAsia="楷体_GB2312"/>
                <w:color w:val="000000"/>
                <w:sz w:val="24"/>
              </w:rPr>
            </w:pPr>
            <w:r>
              <w:rPr>
                <w:rFonts w:hint="eastAsia" w:ascii="楷体_GB2312" w:hAnsi="宋体" w:eastAsia="楷体_GB2312"/>
                <w:color w:val="auto"/>
                <w:sz w:val="24"/>
                <w:highlight w:val="none"/>
              </w:rPr>
              <w:t>（投资者可依据该</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rPr>
              <w:t>登记编码在“中国理财网”查询</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产品信息</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“中国理财网”网址：</w:t>
            </w:r>
            <w:r>
              <w:rPr>
                <w:rFonts w:hint="eastAsia"/>
                <w:color w:val="auto"/>
                <w:highlight w:val="none"/>
              </w:rPr>
              <w:fldChar w:fldCharType="begin"/>
            </w:r>
            <w:r>
              <w:rPr>
                <w:color w:val="auto"/>
                <w:highlight w:val="none"/>
              </w:rPr>
              <w:instrText xml:space="preserve"> HYPERLINK "http://www.chinawealth.com.cn/" </w:instrText>
            </w:r>
            <w:r>
              <w:rPr>
                <w:rFonts w:hint="eastAsia"/>
                <w:color w:val="auto"/>
                <w:highlight w:val="none"/>
              </w:rPr>
              <w:fldChar w:fldCharType="separate"/>
            </w:r>
            <w:r>
              <w:rPr>
                <w:rFonts w:hint="eastAsia" w:ascii="楷体_GB2312" w:hAnsi="宋体" w:eastAsia="楷体_GB2312"/>
                <w:color w:val="auto"/>
                <w:sz w:val="24"/>
                <w:highlight w:val="none"/>
              </w:rPr>
              <w:t>www.chinawealth.com.cn</w:t>
            </w:r>
            <w:r>
              <w:rPr>
                <w:rFonts w:hint="eastAsia" w:ascii="楷体_GB2312" w:hAnsi="宋体" w:eastAsia="楷体_GB2312"/>
                <w:color w:val="auto"/>
                <w:sz w:val="24"/>
                <w:highlight w:val="none"/>
              </w:rPr>
              <w:fldChar w:fldCharType="end"/>
            </w:r>
            <w:r>
              <w:rPr>
                <w:rFonts w:ascii="楷体_GB2312" w:hAnsi="宋体" w:eastAsia="楷体_GB2312"/>
                <w:color w:val="auto"/>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auto"/>
                <w:sz w:val="24"/>
              </w:rPr>
            </w:pPr>
            <w:r>
              <w:rPr>
                <w:rFonts w:hint="eastAsia" w:ascii="楷体_GB2312" w:hAnsi="楷体" w:eastAsia="楷体_GB2312"/>
                <w:color w:val="auto"/>
                <w:sz w:val="24"/>
              </w:rPr>
              <w:t>★</w:t>
            </w:r>
            <w:r>
              <w:rPr>
                <w:rFonts w:hint="eastAsia" w:ascii="楷体_GB2312" w:hAnsi="宋体" w:eastAsia="楷体_GB2312"/>
                <w:color w:val="auto"/>
                <w:sz w:val="24"/>
              </w:rPr>
              <w:t>产品份额类别</w:t>
            </w:r>
          </w:p>
        </w:tc>
        <w:tc>
          <w:tcPr>
            <w:tcW w:w="6633" w:type="dxa"/>
          </w:tcPr>
          <w:p>
            <w:pPr>
              <w:rPr>
                <w:rFonts w:ascii="楷体_GB2312" w:hAnsi="宋体" w:eastAsia="楷体_GB2312"/>
                <w:color w:val="auto"/>
                <w:sz w:val="24"/>
                <w:highlight w:val="none"/>
              </w:rPr>
            </w:pPr>
            <w:r>
              <w:rPr>
                <w:rFonts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根据投资者购买</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理财产品的金额、</w:t>
            </w:r>
            <w:r>
              <w:rPr>
                <w:rFonts w:hint="eastAsia" w:ascii="楷体_GB2312" w:hAnsi="宋体" w:eastAsia="楷体_GB2312"/>
                <w:color w:val="auto"/>
                <w:sz w:val="24"/>
                <w:highlight w:val="none"/>
                <w:lang w:val="en-US" w:eastAsia="zh-CN"/>
              </w:rPr>
              <w:t>渠道客群</w:t>
            </w:r>
            <w:r>
              <w:rPr>
                <w:rFonts w:hint="eastAsia" w:ascii="楷体_GB2312" w:hAnsi="宋体" w:eastAsia="楷体_GB2312"/>
                <w:color w:val="auto"/>
                <w:sz w:val="24"/>
                <w:highlight w:val="none"/>
              </w:rPr>
              <w:t>、代销机构等因素，</w:t>
            </w:r>
            <w:r>
              <w:rPr>
                <w:rFonts w:hint="default" w:ascii="楷体_GB2312" w:hAnsi="宋体" w:eastAsia="楷体_GB2312" w:cs="Times New Roman"/>
                <w:color w:val="auto"/>
                <w:sz w:val="24"/>
                <w:highlight w:val="none"/>
              </w:rPr>
              <w:t>对</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理财产品份额设置不同的理财产品份额类别</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ascii="楷体_GB2312" w:hAnsi="宋体" w:eastAsia="楷体_GB2312"/>
                <w:color w:val="auto"/>
                <w:sz w:val="24"/>
                <w:highlight w:val="none"/>
              </w:rPr>
              <w:t>2.</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可能设置不同的理财产品份额，每类理财产品份额可能将单独设置以下内容：</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1</w:t>
            </w:r>
            <w:r>
              <w:rPr>
                <w:rFonts w:hint="eastAsia" w:ascii="楷体_GB2312" w:hAnsi="宋体" w:eastAsia="楷体_GB2312"/>
                <w:color w:val="auto"/>
                <w:sz w:val="24"/>
                <w:highlight w:val="none"/>
              </w:rPr>
              <w:t>）产品销售名称</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2</w:t>
            </w:r>
            <w:r>
              <w:rPr>
                <w:rFonts w:hint="eastAsia" w:ascii="楷体_GB2312" w:hAnsi="宋体" w:eastAsia="楷体_GB2312"/>
                <w:color w:val="auto"/>
                <w:sz w:val="24"/>
                <w:highlight w:val="none"/>
              </w:rPr>
              <w:t>）产品销售代码</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3</w:t>
            </w:r>
            <w:r>
              <w:rPr>
                <w:rFonts w:hint="eastAsia" w:ascii="楷体_GB2312" w:hAnsi="宋体" w:eastAsia="楷体_GB2312"/>
                <w:color w:val="auto"/>
                <w:sz w:val="24"/>
                <w:highlight w:val="none"/>
              </w:rPr>
              <w:t>）代销机构</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4</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渠道客群</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5</w:t>
            </w:r>
            <w:r>
              <w:rPr>
                <w:rFonts w:hint="eastAsia" w:ascii="楷体_GB2312" w:hAnsi="宋体" w:eastAsia="楷体_GB2312"/>
                <w:color w:val="auto"/>
                <w:sz w:val="24"/>
                <w:highlight w:val="none"/>
              </w:rPr>
              <w:t>）销售手续费率</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rPr>
              <w:t>）认购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申购投资起点金额及递增金额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7</w:t>
            </w:r>
            <w:r>
              <w:rPr>
                <w:rFonts w:hint="eastAsia" w:ascii="楷体_GB2312" w:hAnsi="宋体" w:eastAsia="楷体_GB2312"/>
                <w:color w:val="auto"/>
                <w:sz w:val="24"/>
                <w:highlight w:val="none"/>
              </w:rPr>
              <w:t>）单笔最大购买金额、累计购买金额、最少赎回份额等认购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申购和赎回的数量限制</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8</w:t>
            </w:r>
            <w:r>
              <w:rPr>
                <w:rFonts w:hint="eastAsia" w:ascii="楷体_GB2312" w:hAnsi="宋体" w:eastAsia="楷体_GB2312"/>
                <w:color w:val="auto"/>
                <w:sz w:val="24"/>
                <w:highlight w:val="none"/>
              </w:rPr>
              <w:t>）最低持有份额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份额募集</w:t>
            </w:r>
            <w:r>
              <w:rPr>
                <w:rFonts w:hint="eastAsia" w:ascii="楷体_GB2312" w:hAnsi="宋体" w:eastAsia="楷体_GB2312"/>
                <w:color w:val="auto"/>
                <w:sz w:val="24"/>
                <w:highlight w:val="none"/>
              </w:rPr>
              <w:t>上限</w:t>
            </w:r>
          </w:p>
          <w:p>
            <w:pPr>
              <w:rPr>
                <w:rFonts w:ascii="楷体_GB2312" w:hAnsi="宋体" w:eastAsia="楷体_GB2312"/>
                <w:b/>
                <w:color w:val="auto"/>
                <w:sz w:val="24"/>
                <w:highlight w:val="none"/>
              </w:rPr>
            </w:pPr>
            <w:r>
              <w:rPr>
                <w:rFonts w:ascii="楷体_GB2312" w:hAnsi="宋体" w:eastAsia="楷体_GB2312"/>
                <w:b/>
                <w:color w:val="auto"/>
                <w:sz w:val="24"/>
                <w:highlight w:val="none"/>
              </w:rPr>
              <w:t>3.</w:t>
            </w:r>
            <w:r>
              <w:rPr>
                <w:rFonts w:hint="eastAsia" w:ascii="楷体_GB2312" w:hAnsi="宋体" w:eastAsia="楷体_GB2312"/>
                <w:b/>
                <w:color w:val="auto"/>
                <w:sz w:val="24"/>
                <w:highlight w:val="none"/>
              </w:rPr>
              <w:t>投资者可根据实际情况自行选择认购</w:t>
            </w:r>
            <w:r>
              <w:rPr>
                <w:rFonts w:ascii="楷体_GB2312" w:hAnsi="宋体" w:eastAsia="楷体_GB2312"/>
                <w:b/>
                <w:color w:val="auto"/>
                <w:sz w:val="24"/>
                <w:highlight w:val="none"/>
              </w:rPr>
              <w:t>/</w:t>
            </w:r>
            <w:r>
              <w:rPr>
                <w:rFonts w:hint="eastAsia" w:ascii="楷体_GB2312" w:hAnsi="宋体" w:eastAsia="楷体_GB2312"/>
                <w:b/>
                <w:color w:val="auto"/>
                <w:sz w:val="24"/>
                <w:highlight w:val="none"/>
              </w:rPr>
              <w:t>申购的产品份额类别。</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不同类别的理财产品份额可能在信息披露渠道、销售手续费率等方面存在差异，具体以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文件之约定为准。</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文件所列示产品份额类别仅为</w:t>
            </w:r>
            <w:r>
              <w:rPr>
                <w:rFonts w:hint="eastAsia" w:ascii="楷体_GB2312" w:hAnsi="宋体" w:eastAsia="楷体_GB2312"/>
                <w:b/>
                <w:color w:val="auto"/>
                <w:sz w:val="24"/>
                <w:highlight w:val="none"/>
                <w:lang w:eastAsia="zh-CN"/>
              </w:rPr>
              <w:t>本理财产品</w:t>
            </w:r>
            <w:r>
              <w:rPr>
                <w:rFonts w:hint="eastAsia" w:ascii="楷体_GB2312" w:hAnsi="宋体" w:eastAsia="楷体_GB2312"/>
                <w:b/>
                <w:color w:val="auto"/>
                <w:sz w:val="24"/>
                <w:highlight w:val="none"/>
              </w:rPr>
              <w:t>项下某一类产品份额类别，其他类别的产品份额项下相关约定以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文件及</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的信息披露为准。</w:t>
            </w:r>
          </w:p>
          <w:p>
            <w:pPr>
              <w:rPr>
                <w:rFonts w:ascii="楷体_GB2312" w:hAnsi="宋体" w:eastAsia="楷体_GB2312"/>
                <w:color w:val="auto"/>
                <w:sz w:val="24"/>
              </w:rPr>
            </w:pP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有权在本理财产品项下增设新的产品份额类别，届时，</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将依据本理财产品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投资及收益币种</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募集方式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运作</w:t>
            </w:r>
            <w:r>
              <w:rPr>
                <w:rFonts w:hint="eastAsia" w:ascii="楷体_GB2312" w:eastAsia="楷体_GB2312"/>
                <w:bCs/>
                <w:color w:val="auto"/>
                <w:sz w:val="24"/>
                <w:highlight w:val="none"/>
                <w:lang w:val="en-US" w:eastAsia="zh-CN"/>
              </w:rPr>
              <w:t>模</w:t>
            </w:r>
            <w:r>
              <w:rPr>
                <w:rFonts w:hint="eastAsia" w:ascii="楷体_GB2312" w:eastAsia="楷体_GB2312"/>
                <w:bCs/>
                <w:color w:val="auto"/>
                <w:sz w:val="24"/>
                <w:highlight w:val="none"/>
              </w:rPr>
              <w:t>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开放式</w:t>
            </w:r>
            <w:r>
              <w:rPr>
                <w:rFonts w:hint="eastAsia" w:ascii="楷体_GB2312" w:hAnsi="宋体" w:eastAsia="楷体_GB2312"/>
                <w:color w:val="auto"/>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hAnsi="宋体" w:eastAsia="楷体_GB2312"/>
                <w:b/>
                <w:bCs/>
                <w:color w:val="auto"/>
                <w:sz w:val="24"/>
                <w:highlight w:val="none"/>
              </w:rPr>
              <w:t>★</w:t>
            </w:r>
            <w:r>
              <w:rPr>
                <w:rFonts w:hint="eastAsia" w:ascii="楷体_GB2312" w:eastAsia="楷体_GB2312"/>
                <w:bCs/>
                <w:color w:val="auto"/>
                <w:sz w:val="24"/>
                <w:highlight w:val="none"/>
              </w:rPr>
              <w:t>产品类型</w:t>
            </w:r>
          </w:p>
        </w:tc>
        <w:tc>
          <w:tcPr>
            <w:tcW w:w="6633" w:type="dxa"/>
          </w:tcPr>
          <w:p>
            <w:pPr>
              <w:rPr>
                <w:rFonts w:ascii="楷体_GB2312" w:hAnsi="宋体" w:eastAsia="楷体_GB2312"/>
                <w:color w:val="000000"/>
                <w:sz w:val="24"/>
              </w:rPr>
            </w:pPr>
            <w:r>
              <w:rPr>
                <w:rFonts w:ascii="楷体_GB2312" w:hAnsi="宋体" w:eastAsia="楷体_GB2312"/>
                <w:color w:val="000000"/>
                <w:sz w:val="24"/>
              </w:rPr>
              <w:t>固定收益类、非保本浮动收益型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适合的投资者</w:t>
            </w:r>
          </w:p>
        </w:tc>
        <w:tc>
          <w:tcPr>
            <w:tcW w:w="6633" w:type="dxa"/>
          </w:tcPr>
          <w:p>
            <w:pPr>
              <w:rPr>
                <w:rFonts w:hint="eastAsia" w:ascii="楷体_GB2312" w:hAnsi="宋体" w:eastAsia="楷体_GB2312" w:cs="Times New Roman"/>
                <w:color w:val="auto"/>
                <w:sz w:val="24"/>
                <w:szCs w:val="24"/>
                <w:highlight w:val="none"/>
              </w:rPr>
            </w:pPr>
            <w:r>
              <w:rPr>
                <w:rFonts w:hint="eastAsia" w:ascii="楷体_GB2312" w:hAnsi="宋体" w:eastAsia="楷体_GB2312" w:cs="Times New Roman"/>
                <w:color w:val="auto"/>
                <w:sz w:val="24"/>
                <w:szCs w:val="24"/>
                <w:highlight w:val="none"/>
              </w:rPr>
              <w:t>符合相关法律法规、监管规定要求的自然人、法人和其他组织。自然人</w:t>
            </w:r>
            <w:r>
              <w:rPr>
                <w:rFonts w:hint="eastAsia" w:ascii="楷体_GB2312" w:hAnsi="宋体" w:eastAsia="楷体_GB2312" w:cs="Times New Roman"/>
                <w:color w:val="auto"/>
                <w:sz w:val="24"/>
                <w:szCs w:val="24"/>
                <w:highlight w:val="none"/>
                <w:lang w:val="en-US" w:eastAsia="zh-CN"/>
              </w:rPr>
              <w:t>投资者</w:t>
            </w:r>
            <w:r>
              <w:rPr>
                <w:rFonts w:hint="eastAsia" w:ascii="楷体_GB2312" w:hAnsi="宋体" w:eastAsia="楷体_GB2312" w:cs="Times New Roman"/>
                <w:color w:val="auto"/>
                <w:sz w:val="24"/>
                <w:szCs w:val="24"/>
                <w:highlight w:val="none"/>
              </w:rPr>
              <w:t>经</w:t>
            </w:r>
            <w:r>
              <w:rPr>
                <w:rFonts w:hint="eastAsia" w:ascii="楷体_GB2312" w:hAnsi="宋体" w:eastAsia="楷体_GB2312" w:cs="Times New Roman"/>
                <w:color w:val="auto"/>
                <w:sz w:val="24"/>
                <w:szCs w:val="24"/>
                <w:highlight w:val="none"/>
                <w:lang w:val="en-US" w:eastAsia="zh-CN"/>
              </w:rPr>
              <w:t>代理销售</w:t>
            </w:r>
            <w:r>
              <w:rPr>
                <w:rFonts w:hint="eastAsia" w:ascii="楷体_GB2312" w:hAnsi="宋体" w:eastAsia="楷体_GB2312" w:cs="Times New Roman"/>
                <w:color w:val="auto"/>
                <w:sz w:val="24"/>
                <w:szCs w:val="24"/>
                <w:highlight w:val="none"/>
              </w:rPr>
              <w:t>机构</w:t>
            </w:r>
            <w:r>
              <w:rPr>
                <w:rFonts w:hint="eastAsia" w:ascii="楷体_GB2312" w:hAnsi="宋体" w:eastAsia="楷体_GB2312" w:cs="Times New Roman"/>
                <w:color w:val="auto"/>
                <w:sz w:val="24"/>
                <w:szCs w:val="24"/>
                <w:highlight w:val="none"/>
                <w:lang w:val="en-US" w:eastAsia="zh-CN"/>
              </w:rPr>
              <w:t>评估</w:t>
            </w:r>
            <w:r>
              <w:rPr>
                <w:rFonts w:hint="eastAsia" w:ascii="楷体_GB2312" w:hAnsi="宋体" w:eastAsia="楷体_GB2312" w:cs="Times New Roman"/>
                <w:color w:val="auto"/>
                <w:sz w:val="24"/>
                <w:szCs w:val="24"/>
                <w:highlight w:val="none"/>
              </w:rPr>
              <w:t>的个人投资者风险承受能力等级</w:t>
            </w:r>
            <w:r>
              <w:rPr>
                <w:rFonts w:hint="eastAsia" w:ascii="楷体_GB2312" w:hAnsi="宋体" w:eastAsia="楷体_GB2312" w:cs="Times New Roman"/>
                <w:color w:val="auto"/>
                <w:sz w:val="24"/>
                <w:szCs w:val="24"/>
                <w:highlight w:val="none"/>
                <w:lang w:val="en-US" w:eastAsia="zh-CN"/>
              </w:rPr>
              <w:t>须</w:t>
            </w:r>
            <w:r>
              <w:rPr>
                <w:rFonts w:hint="eastAsia" w:ascii="楷体_GB2312" w:hAnsi="宋体" w:eastAsia="楷体_GB2312" w:cs="Times New Roman"/>
                <w:color w:val="auto"/>
                <w:sz w:val="24"/>
                <w:szCs w:val="24"/>
                <w:highlight w:val="none"/>
              </w:rPr>
              <w:t>不低于本理财产品风险评级</w:t>
            </w:r>
            <w:r>
              <w:rPr>
                <w:rFonts w:hint="eastAsia" w:ascii="楷体_GB2312" w:hAnsi="宋体" w:eastAsia="楷体_GB2312" w:cs="Times New Roman"/>
                <w:color w:val="auto"/>
                <w:sz w:val="24"/>
                <w:szCs w:val="24"/>
                <w:highlight w:val="none"/>
                <w:lang w:val="en-US" w:eastAsia="zh-CN"/>
              </w:rPr>
              <w:t>结果</w:t>
            </w:r>
            <w:r>
              <w:rPr>
                <w:rFonts w:hint="eastAsia" w:ascii="楷体_GB2312" w:hAnsi="宋体" w:eastAsia="楷体_GB2312" w:cs="Times New Roman"/>
                <w:color w:val="auto"/>
                <w:sz w:val="24"/>
                <w:szCs w:val="24"/>
                <w:highlight w:val="none"/>
              </w:rPr>
              <w:t>（</w:t>
            </w:r>
            <w:r>
              <w:rPr>
                <w:rFonts w:hint="eastAsia" w:ascii="楷体_GB2312" w:hAnsi="宋体" w:eastAsia="楷体_GB2312" w:cs="Times New Roman"/>
                <w:color w:val="auto"/>
                <w:sz w:val="24"/>
                <w:szCs w:val="24"/>
                <w:highlight w:val="none"/>
                <w:lang w:eastAsia="zh-CN"/>
              </w:rPr>
              <w:t>本理财产品</w:t>
            </w:r>
            <w:r>
              <w:rPr>
                <w:rFonts w:hint="eastAsia" w:ascii="楷体_GB2312" w:hAnsi="宋体" w:eastAsia="楷体_GB2312" w:cs="Times New Roman"/>
                <w:color w:val="auto"/>
                <w:sz w:val="24"/>
                <w:szCs w:val="24"/>
                <w:highlight w:val="none"/>
              </w:rPr>
              <w:t>通过代销机构销售的，销售客群最终以代销机构要求为准）。</w:t>
            </w:r>
          </w:p>
          <w:p>
            <w:pPr>
              <w:rPr>
                <w:rFonts w:ascii="楷体_GB2312" w:hAnsi="宋体" w:eastAsia="楷体_GB2312"/>
                <w:color w:val="000000"/>
                <w:sz w:val="24"/>
              </w:rPr>
            </w:pPr>
            <w:r>
              <w:rPr>
                <w:rFonts w:hint="eastAsia" w:ascii="楷体_GB2312" w:hAnsi="宋体" w:eastAsia="楷体_GB2312"/>
                <w:color w:val="auto"/>
                <w:sz w:val="24"/>
                <w:highlight w:val="none"/>
              </w:rPr>
              <w:t>★</w:t>
            </w:r>
            <w:r>
              <w:rPr>
                <w:rFonts w:hint="eastAsia" w:ascii="楷体_GB2312" w:hAnsi="宋体" w:eastAsia="楷体_GB2312"/>
                <w:b/>
                <w:color w:val="auto"/>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管理人</w:t>
            </w:r>
          </w:p>
        </w:tc>
        <w:tc>
          <w:tcPr>
            <w:tcW w:w="6633" w:type="dxa"/>
          </w:tcPr>
          <w:p>
            <w:pPr>
              <w:rPr>
                <w:rFonts w:ascii="楷体_GB2312" w:hAnsi="宋体" w:eastAsia="楷体_GB2312"/>
                <w:color w:val="000000"/>
                <w:sz w:val="24"/>
              </w:rPr>
            </w:pPr>
            <w:r>
              <w:rPr>
                <w:rFonts w:ascii="楷体_GB2312" w:hAnsi="宋体" w:eastAsia="楷体_GB2312"/>
                <w:color w:val="000000"/>
                <w:sz w:val="24"/>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托管人</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lang w:val="en-US" w:eastAsia="zh-CN"/>
              </w:rPr>
              <w:t>北京</w:t>
            </w:r>
            <w:r>
              <w:rPr>
                <w:rFonts w:ascii="楷体_GB2312" w:hAnsi="宋体" w:eastAsia="楷体_GB2312"/>
                <w:color w:val="000000"/>
                <w:sz w:val="24"/>
              </w:rPr>
              <w:t>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代销机构</w:t>
            </w:r>
          </w:p>
        </w:tc>
        <w:tc>
          <w:tcPr>
            <w:tcW w:w="6633" w:type="dxa"/>
          </w:tcPr>
          <w:p>
            <w:pPr>
              <w:rPr>
                <w:rFonts w:hint="eastAsia" w:ascii="楷体_GB2312" w:hAnsi="宋体" w:eastAsia="楷体_GB2312"/>
                <w:color w:val="000000"/>
                <w:sz w:val="24"/>
                <w:lang w:val="en-US" w:eastAsia="zh-CN"/>
              </w:rPr>
            </w:pPr>
            <w:r>
              <w:rPr>
                <w:rFonts w:hint="eastAsia" w:ascii="楷体_GB2312" w:hAnsi="楷体" w:eastAsia="楷体_GB2312"/>
                <w:color w:val="auto"/>
                <w:sz w:val="24"/>
                <w:highlight w:val="none"/>
                <w:lang w:val="en-US" w:eastAsia="zh-CN"/>
              </w:rPr>
              <w:t>A类</w:t>
            </w:r>
            <w:r>
              <w:rPr>
                <w:rFonts w:hint="eastAsia" w:ascii="楷体_GB2312" w:hAnsi="楷体" w:eastAsia="楷体_GB2312"/>
                <w:color w:val="auto"/>
                <w:sz w:val="24"/>
                <w:highlight w:val="none"/>
              </w:rPr>
              <w:t>份额</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lang w:val="en-US" w:eastAsia="zh-CN"/>
              </w:rPr>
              <w:t>B类份额、</w:t>
            </w:r>
            <w:r>
              <w:rPr>
                <w:rFonts w:hint="eastAsia" w:ascii="楷体_GB2312" w:hAnsi="宋体" w:eastAsia="楷体_GB2312"/>
                <w:color w:val="auto"/>
                <w:sz w:val="24"/>
                <w:lang w:val="en-US" w:eastAsia="zh-CN"/>
              </w:rPr>
              <w:t>浙BA类</w:t>
            </w:r>
            <w:r>
              <w:rPr>
                <w:rFonts w:hint="eastAsia" w:ascii="楷体_GB2312" w:hAnsi="宋体" w:eastAsia="楷体_GB2312"/>
                <w:color w:val="auto"/>
                <w:sz w:val="24"/>
                <w:highlight w:val="none"/>
              </w:rPr>
              <w:t>份额</w:t>
            </w:r>
            <w:r>
              <w:rPr>
                <w:rFonts w:hint="eastAsia" w:ascii="楷体_GB2312" w:hAnsi="楷体" w:eastAsia="楷体_GB2312"/>
                <w:color w:val="auto"/>
                <w:sz w:val="24"/>
                <w:highlight w:val="none"/>
                <w:lang w:eastAsia="zh-CN"/>
              </w:rPr>
              <w:t>：</w:t>
            </w: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w:t>
            </w:r>
            <w:r>
              <w:rPr>
                <w:rFonts w:hint="eastAsia" w:ascii="楷体_GB2312" w:hAnsi="宋体" w:eastAsia="楷体_GB2312" w:cs="Times New Roman"/>
                <w:color w:val="auto"/>
                <w:sz w:val="24"/>
              </w:rPr>
              <w:t>浙江衢州柯城农村商业银行股份有限公司</w:t>
            </w:r>
            <w:r>
              <w:rPr>
                <w:rFonts w:hint="eastAsia" w:ascii="楷体_GB2312" w:hAnsi="宋体" w:eastAsia="楷体_GB2312" w:cs="Times New Roman"/>
                <w:color w:val="auto"/>
                <w:sz w:val="24"/>
                <w:lang w:eastAsia="zh-CN"/>
              </w:rPr>
              <w:t>、浙江松阳农村商业银行股份有限公司、浙江江山农村商业银行股份有限公司、浙江义乌农村商业银行股份有限公司、浙江桐庐农村商业银行股份有限公司、浙江新昌农村商业银行股份有限公司、</w:t>
            </w:r>
            <w:r>
              <w:rPr>
                <w:rFonts w:hint="eastAsia" w:ascii="楷体_GB2312" w:hAnsi="宋体" w:eastAsia="楷体_GB2312" w:cs="Times New Roman"/>
                <w:color w:val="auto"/>
                <w:sz w:val="24"/>
              </w:rPr>
              <w:t>浙江衢州衢江农村商业银行股份有限公司</w:t>
            </w:r>
            <w:r>
              <w:rPr>
                <w:rFonts w:hint="eastAsia" w:ascii="楷体_GB2312" w:hAnsi="宋体" w:eastAsia="楷体_GB2312" w:cs="Times New Roman"/>
                <w:color w:val="auto"/>
                <w:sz w:val="24"/>
                <w:lang w:eastAsia="zh-CN"/>
              </w:rPr>
              <w:t>、浙江临安农村商业银行股份有限公司、</w:t>
            </w:r>
            <w:r>
              <w:rPr>
                <w:rFonts w:hint="eastAsia" w:ascii="楷体_GB2312" w:hAnsi="宋体" w:eastAsia="楷体_GB2312" w:cs="Times New Roman"/>
                <w:color w:val="auto"/>
                <w:sz w:val="24"/>
                <w:highlight w:val="none"/>
              </w:rPr>
              <w:t>浙江萧山农村商业银行股份有限公司</w:t>
            </w:r>
            <w:r>
              <w:rPr>
                <w:rFonts w:hint="eastAsia" w:ascii="楷体_GB2312" w:hAnsi="宋体" w:eastAsia="楷体_GB2312" w:cs="Times New Roman"/>
                <w:color w:val="auto"/>
                <w:sz w:val="24"/>
                <w:highlight w:val="none"/>
                <w:lang w:eastAsia="zh-CN"/>
              </w:rPr>
              <w:t>、浙江温岭农村商业银行股份有限公司、浙江长兴农村商业银行股份有限公司、</w:t>
            </w:r>
            <w:r>
              <w:rPr>
                <w:rFonts w:hint="eastAsia" w:ascii="楷体_GB2312" w:hAnsi="宋体" w:eastAsia="楷体_GB2312" w:cs="Times New Roman"/>
                <w:color w:val="auto"/>
                <w:sz w:val="24"/>
                <w:highlight w:val="none"/>
              </w:rPr>
              <w:t>浙江兰溪农村商业银行股份有限公司</w:t>
            </w:r>
            <w:r>
              <w:rPr>
                <w:rFonts w:hint="eastAsia" w:ascii="楷体_GB2312" w:hAnsi="宋体" w:eastAsia="楷体_GB2312" w:cs="Times New Roman"/>
                <w:color w:val="auto"/>
                <w:sz w:val="24"/>
                <w:highlight w:val="none"/>
                <w:lang w:eastAsia="zh-CN"/>
              </w:rPr>
              <w:t>、浙江杭州余杭农村商业银行股份有限公司、浙江缙云农村商业银行股份有限公司、浙江海宁农村商业银行股份有限公司、</w:t>
            </w:r>
            <w:r>
              <w:rPr>
                <w:rFonts w:hint="eastAsia" w:ascii="楷体_GB2312" w:hAnsi="宋体" w:eastAsia="楷体_GB2312" w:cs="Times New Roman"/>
                <w:color w:val="auto"/>
                <w:sz w:val="24"/>
                <w:highlight w:val="none"/>
              </w:rPr>
              <w:t>浙江桐乡农村商业银行股份有限公司</w:t>
            </w:r>
            <w:r>
              <w:rPr>
                <w:rFonts w:hint="eastAsia" w:ascii="楷体_GB2312" w:hAnsi="宋体" w:eastAsia="楷体_GB2312" w:cs="Times New Roman"/>
                <w:color w:val="auto"/>
                <w:sz w:val="24"/>
                <w:highlight w:val="none"/>
                <w:lang w:eastAsia="zh-CN"/>
              </w:rPr>
              <w:t>、浙江仙居农村商业银行股份有限公司、</w:t>
            </w:r>
            <w:r>
              <w:rPr>
                <w:rFonts w:hint="eastAsia" w:ascii="楷体_GB2312" w:hAnsi="宋体" w:eastAsia="楷体_GB2312" w:cs="Times New Roman"/>
                <w:color w:val="auto"/>
                <w:sz w:val="24"/>
                <w:highlight w:val="none"/>
              </w:rPr>
              <w:t>浙江遂昌农村商业银行股份有限公司</w:t>
            </w:r>
            <w:r>
              <w:rPr>
                <w:rFonts w:hint="eastAsia" w:ascii="楷体_GB2312" w:hAnsi="宋体" w:eastAsia="楷体_GB2312" w:cs="Times New Roman"/>
                <w:color w:val="auto"/>
                <w:sz w:val="24"/>
                <w:highlight w:val="none"/>
                <w:lang w:eastAsia="zh-CN"/>
              </w:rPr>
              <w:t>、浙江丽水莲都农村商业银行股份有限公司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风险评级</w:t>
            </w:r>
          </w:p>
        </w:tc>
        <w:tc>
          <w:tcPr>
            <w:tcW w:w="6633" w:type="dxa"/>
          </w:tcPr>
          <w:p>
            <w:pPr>
              <w:rPr>
                <w:rFonts w:ascii="楷体_GB2312" w:hAnsi="宋体" w:eastAsia="楷体_GB2312"/>
                <w:color w:val="auto"/>
                <w:sz w:val="24"/>
                <w:highlight w:val="none"/>
              </w:rPr>
            </w:pPr>
            <w:r>
              <w:rPr>
                <w:rFonts w:ascii="楷体_GB2312" w:hAnsi="宋体" w:eastAsia="楷体_GB2312"/>
                <w:color w:val="000000"/>
                <w:sz w:val="24"/>
              </w:rPr>
              <w:t>较低风险产品（PR</w:t>
            </w:r>
            <w:r>
              <w:rPr>
                <w:rFonts w:hint="eastAsia" w:ascii="楷体_GB2312" w:hAnsi="宋体" w:eastAsia="楷体_GB2312"/>
                <w:color w:val="000000"/>
                <w:sz w:val="24"/>
                <w:lang w:val="en-US" w:eastAsia="zh-CN"/>
              </w:rPr>
              <w:t>2</w:t>
            </w:r>
            <w:r>
              <w:rPr>
                <w:rFonts w:hint="eastAsia" w:ascii="楷体_GB2312" w:hAnsi="宋体" w:eastAsia="楷体_GB2312"/>
                <w:color w:val="000000"/>
                <w:sz w:val="24"/>
              </w:rPr>
              <w:t>）</w:t>
            </w:r>
            <w:r>
              <w:rPr>
                <w:rFonts w:hint="eastAsia" w:ascii="楷体_GB2312" w:hAnsi="宋体" w:eastAsia="楷体_GB2312"/>
                <w:color w:val="auto"/>
                <w:sz w:val="24"/>
                <w:highlight w:val="none"/>
              </w:rPr>
              <w:t>（本</w:t>
            </w:r>
            <w:r>
              <w:rPr>
                <w:rFonts w:hint="eastAsia" w:ascii="楷体_GB2312" w:hAnsi="宋体" w:eastAsia="楷体_GB2312"/>
                <w:color w:val="auto"/>
                <w:sz w:val="24"/>
                <w:highlight w:val="none"/>
                <w:lang w:val="en-US" w:eastAsia="zh-CN"/>
              </w:rPr>
              <w:t>风险</w:t>
            </w:r>
            <w:r>
              <w:rPr>
                <w:rFonts w:hint="eastAsia" w:ascii="楷体_GB2312" w:hAnsi="宋体" w:eastAsia="楷体_GB2312"/>
                <w:color w:val="auto"/>
                <w:sz w:val="24"/>
                <w:highlight w:val="none"/>
              </w:rPr>
              <w:t>评级为北银理财内部评级，仅供参考）</w:t>
            </w:r>
          </w:p>
          <w:p>
            <w:pPr>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产品规模</w:t>
            </w:r>
          </w:p>
        </w:tc>
        <w:tc>
          <w:tcPr>
            <w:tcW w:w="6633" w:type="dxa"/>
          </w:tcPr>
          <w:p>
            <w:pPr>
              <w:pStyle w:val="31"/>
              <w:jc w:val="both"/>
              <w:rPr>
                <w:rFonts w:ascii="楷体_GB2312" w:hAnsi="Times New Roman" w:eastAsia="楷体_GB2312" w:cs="Times New Roman"/>
                <w:bCs/>
                <w:kern w:val="2"/>
              </w:rPr>
            </w:pPr>
            <w:r>
              <w:rPr>
                <w:rFonts w:hint="eastAsia" w:ascii="楷体_GB2312" w:hAnsi="楷体" w:eastAsia="楷体_GB2312"/>
                <w:color w:val="auto"/>
                <w:highlight w:val="none"/>
              </w:rPr>
              <w:t>★</w:t>
            </w:r>
            <w:r>
              <w:rPr>
                <w:rFonts w:hint="eastAsia" w:ascii="楷体_GB2312" w:hAnsi="Times New Roman" w:eastAsia="楷体_GB2312" w:cs="Times New Roman"/>
                <w:bCs/>
                <w:color w:val="auto"/>
                <w:kern w:val="2"/>
                <w:highlight w:val="none"/>
                <w:lang w:eastAsia="zh-CN"/>
              </w:rPr>
              <w:t>产品管理人</w:t>
            </w:r>
            <w:r>
              <w:rPr>
                <w:rFonts w:hint="eastAsia" w:ascii="楷体_GB2312" w:hAnsi="Times New Roman" w:eastAsia="楷体_GB2312" w:cs="Times New Roman"/>
                <w:bCs/>
                <w:color w:val="auto"/>
                <w:kern w:val="2"/>
                <w:highlight w:val="none"/>
              </w:rPr>
              <w:t>可根据市场和</w:t>
            </w:r>
            <w:r>
              <w:rPr>
                <w:rFonts w:hint="eastAsia" w:ascii="楷体_GB2312" w:hAnsi="Times New Roman" w:eastAsia="楷体_GB2312" w:cs="Times New Roman"/>
                <w:bCs/>
                <w:color w:val="auto"/>
                <w:kern w:val="2"/>
                <w:highlight w:val="none"/>
                <w:lang w:eastAsia="zh-CN"/>
              </w:rPr>
              <w:t>本理财</w:t>
            </w:r>
            <w:r>
              <w:rPr>
                <w:rFonts w:hint="eastAsia" w:ascii="楷体_GB2312" w:hAnsi="Times New Roman" w:eastAsia="楷体_GB2312" w:cs="Times New Roman"/>
                <w:bCs/>
                <w:color w:val="auto"/>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销售区域</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p>
            <w:pPr>
              <w:snapToGrid w:val="0"/>
              <w:rPr>
                <w:rFonts w:hint="eastAsia" w:ascii="楷体_GB2312" w:eastAsia="楷体_GB2312"/>
                <w:bCs/>
                <w:color w:val="000000"/>
                <w:sz w:val="24"/>
                <w:lang w:val="en-US" w:eastAsia="zh-CN"/>
              </w:rPr>
            </w:pPr>
            <w:r>
              <w:rPr>
                <w:rFonts w:hint="eastAsia" w:ascii="楷体_GB2312" w:hAnsi="宋体" w:eastAsia="楷体_GB2312"/>
                <w:color w:val="auto"/>
                <w:sz w:val="24"/>
                <w:lang w:val="en-US" w:eastAsia="zh-CN"/>
              </w:rPr>
              <w:t>浙BA类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全国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募集期</w:t>
            </w:r>
          </w:p>
        </w:tc>
        <w:tc>
          <w:tcPr>
            <w:tcW w:w="6633" w:type="dxa"/>
            <w:vAlign w:val="center"/>
          </w:tcPr>
          <w:p>
            <w:pPr>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lang w:val="en-US" w:eastAsia="zh-CN"/>
              </w:rPr>
              <w:t>:00至2025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17</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募集期开市/闭市时间具体以代理销售机构为准）</w:t>
            </w:r>
          </w:p>
          <w:p>
            <w:pPr>
              <w:rPr>
                <w:rFonts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有权根据市场情况提前结束或延长募集期并相应调整</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产品成立日。</w:t>
            </w:r>
          </w:p>
          <w:p>
            <w:pPr>
              <w:rPr>
                <w:rFonts w:ascii="楷体_GB2312" w:eastAsia="楷体_GB2312"/>
                <w:bCs/>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如经</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判断需提前结束或延长募集期，</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将提前</w:t>
            </w:r>
            <w:r>
              <w:rPr>
                <w:rFonts w:hint="default" w:ascii="楷体_GB2312" w:hAnsi="宋体" w:eastAsia="楷体_GB2312"/>
                <w:color w:val="auto"/>
                <w:sz w:val="24"/>
                <w:highlight w:val="none"/>
                <w:lang w:val="en-US"/>
              </w:rPr>
              <w:t>1</w:t>
            </w:r>
            <w:r>
              <w:rPr>
                <w:rFonts w:hint="eastAsia" w:ascii="楷体_GB2312" w:hAnsi="宋体" w:eastAsia="楷体_GB2312"/>
                <w:color w:val="auto"/>
                <w:sz w:val="24"/>
                <w:highlight w:val="none"/>
                <w:lang w:val="en-US" w:eastAsia="zh-CN"/>
              </w:rPr>
              <w:t>个工作日</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认购</w:t>
            </w:r>
          </w:p>
        </w:tc>
        <w:tc>
          <w:tcPr>
            <w:tcW w:w="6633" w:type="dxa"/>
            <w:vAlign w:val="center"/>
          </w:tcPr>
          <w:p>
            <w:pPr>
              <w:rPr>
                <w:rFonts w:ascii="楷体_GB2312" w:hAnsi="宋体" w:eastAsia="楷体_GB2312"/>
                <w:color w:val="000000"/>
                <w:sz w:val="24"/>
              </w:rPr>
            </w:pPr>
            <w:r>
              <w:rPr>
                <w:rFonts w:hint="eastAsia" w:ascii="楷体_GB2312" w:hAnsi="Times New Roman" w:eastAsia="楷体_GB2312" w:cs="Times New Roman"/>
                <w:bCs/>
                <w:color w:val="auto"/>
                <w:sz w:val="24"/>
                <w:highlight w:val="none"/>
              </w:rPr>
              <w:t>投资者可在募集期</w:t>
            </w:r>
            <w:r>
              <w:rPr>
                <w:rFonts w:hint="eastAsia" w:ascii="楷体_GB2312" w:eastAsia="楷体_GB2312" w:cs="Times New Roman"/>
                <w:bCs/>
                <w:color w:val="auto"/>
                <w:sz w:val="24"/>
                <w:highlight w:val="none"/>
                <w:lang w:val="en-US" w:eastAsia="zh-CN"/>
              </w:rPr>
              <w:t>规定时间</w:t>
            </w:r>
            <w:r>
              <w:rPr>
                <w:rFonts w:hint="eastAsia" w:ascii="楷体_GB2312" w:hAnsi="Times New Roman" w:eastAsia="楷体_GB2312" w:cs="Times New Roman"/>
                <w:bCs/>
                <w:color w:val="auto"/>
                <w:sz w:val="24"/>
                <w:highlight w:val="none"/>
              </w:rPr>
              <w:t>内购买本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产品，投资者认购资金将被实时冻结，并于</w:t>
            </w:r>
            <w:r>
              <w:rPr>
                <w:rFonts w:hint="eastAsia" w:ascii="楷体_GB2312" w:hAnsi="Times New Roman" w:eastAsia="楷体_GB2312" w:cs="Times New Roman"/>
                <w:bCs/>
                <w:color w:val="auto"/>
                <w:sz w:val="24"/>
                <w:highlight w:val="none"/>
                <w:lang w:eastAsia="zh-CN"/>
              </w:rPr>
              <w:t>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产品成立日由代销机构划款，</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rPr>
              <w:t>在</w:t>
            </w:r>
            <w:r>
              <w:rPr>
                <w:rFonts w:hint="eastAsia" w:ascii="楷体_GB2312" w:hAnsi="Times New Roman" w:eastAsia="楷体_GB2312" w:cs="Times New Roman"/>
                <w:bCs/>
                <w:color w:val="auto"/>
                <w:sz w:val="24"/>
                <w:highlight w:val="none"/>
                <w:lang w:eastAsia="zh-CN"/>
              </w:rPr>
              <w:t>本理财</w:t>
            </w:r>
            <w:r>
              <w:rPr>
                <w:rFonts w:hint="eastAsia" w:ascii="楷体_GB2312" w:hAnsi="Times New Roman" w:eastAsia="楷体_GB2312" w:cs="Times New Roman"/>
                <w:bCs/>
                <w:color w:val="auto"/>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成立日</w:t>
            </w:r>
          </w:p>
        </w:tc>
        <w:tc>
          <w:tcPr>
            <w:tcW w:w="6633" w:type="dxa"/>
            <w:vAlign w:val="center"/>
          </w:tcPr>
          <w:p>
            <w:pPr>
              <w:rPr>
                <w:rFonts w:hint="eastAsia" w:ascii="楷体_GB2312" w:hAnsi="Times New Roman" w:eastAsia="楷体_GB2312" w:cs="Times New Roman"/>
                <w:bCs/>
                <w:color w:val="FF0000"/>
                <w:sz w:val="24"/>
                <w:highlight w:val="none"/>
                <w:lang w:eastAsia="zh-CN"/>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29</w:t>
            </w:r>
            <w:r>
              <w:rPr>
                <w:rFonts w:hint="eastAsia" w:ascii="楷体_GB2312" w:hAnsi="宋体" w:eastAsia="楷体_GB2312"/>
                <w:color w:val="auto"/>
                <w:sz w:val="24"/>
                <w:highlight w:val="none"/>
              </w:rPr>
              <w:t>日</w:t>
            </w:r>
            <w:r>
              <w:rPr>
                <w:rFonts w:hint="eastAsia" w:ascii="楷体_GB2312" w:hAnsi="Times New Roman" w:eastAsia="楷体_GB2312" w:cs="Times New Roman"/>
                <w:bCs/>
                <w:color w:val="auto"/>
                <w:sz w:val="24"/>
                <w:highlight w:val="none"/>
                <w:lang w:eastAsia="zh-CN"/>
              </w:rPr>
              <w:t>。</w:t>
            </w:r>
          </w:p>
          <w:p>
            <w:pPr>
              <w:rPr>
                <w:rFonts w:hint="eastAsia"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产品管理人有权根据市场情况提前结束或延长募集期并相应调整本理财产品成立日。</w:t>
            </w:r>
          </w:p>
          <w:p>
            <w:pPr>
              <w:snapToGrid w:val="0"/>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产品单位面值</w:t>
            </w:r>
          </w:p>
        </w:tc>
        <w:tc>
          <w:tcPr>
            <w:tcW w:w="6633"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本理财产品的</w:t>
            </w:r>
            <w:r>
              <w:rPr>
                <w:rFonts w:hint="eastAsia" w:ascii="楷体_GB2312" w:eastAsia="楷体_GB2312"/>
                <w:bCs/>
                <w:color w:val="auto"/>
                <w:sz w:val="24"/>
                <w:highlight w:val="none"/>
                <w:lang w:val="en-US" w:eastAsia="zh-CN"/>
              </w:rPr>
              <w:t>初始产品</w:t>
            </w:r>
            <w:r>
              <w:rPr>
                <w:rFonts w:hint="eastAsia" w:ascii="楷体_GB2312" w:eastAsia="楷体_GB2312"/>
                <w:bCs/>
                <w:color w:val="auto"/>
                <w:sz w:val="24"/>
                <w:highlight w:val="none"/>
              </w:rPr>
              <w:t>单位</w:t>
            </w:r>
            <w:r>
              <w:rPr>
                <w:rFonts w:hint="eastAsia" w:ascii="楷体_GB2312" w:eastAsia="楷体_GB2312"/>
                <w:bCs/>
                <w:color w:val="auto"/>
                <w:sz w:val="24"/>
                <w:highlight w:val="none"/>
                <w:lang w:val="en-US" w:eastAsia="zh-CN"/>
              </w:rPr>
              <w:t>面</w:t>
            </w:r>
            <w:r>
              <w:rPr>
                <w:rFonts w:hint="eastAsia" w:ascii="楷体_GB2312" w:eastAsia="楷体_GB2312"/>
                <w:bCs/>
                <w:color w:val="auto"/>
                <w:sz w:val="24"/>
                <w:highlight w:val="none"/>
              </w:rPr>
              <w:t>值为1</w:t>
            </w:r>
            <w:r>
              <w:rPr>
                <w:rFonts w:hint="default" w:ascii="楷体_GB2312" w:eastAsia="楷体_GB2312"/>
                <w:bCs/>
                <w:color w:val="auto"/>
                <w:sz w:val="24"/>
                <w:highlight w:val="none"/>
                <w:lang w:val="en-US"/>
              </w:rPr>
              <w:t>.00</w:t>
            </w:r>
            <w:r>
              <w:rPr>
                <w:rFonts w:hint="eastAsia" w:ascii="楷体_GB2312" w:eastAsia="楷体_GB2312"/>
                <w:bCs/>
                <w:color w:val="auto"/>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投资起点</w:t>
            </w:r>
          </w:p>
        </w:tc>
        <w:tc>
          <w:tcPr>
            <w:tcW w:w="6633" w:type="dxa"/>
            <w:vAlign w:val="center"/>
          </w:tcPr>
          <w:p>
            <w:pPr>
              <w:snapToGrid w:val="0"/>
              <w:rPr>
                <w:rFonts w:hint="eastAsia" w:ascii="楷体_GB2312" w:eastAsia="楷体_GB2312"/>
                <w:bCs/>
                <w:color w:val="000000"/>
                <w:sz w:val="24"/>
                <w:highlight w:val="none"/>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1.00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p>
            <w:pPr>
              <w:snapToGrid w:val="0"/>
              <w:rPr>
                <w:rFonts w:hint="eastAsia" w:ascii="楷体_GB2312" w:eastAsia="楷体_GB2312"/>
                <w:bCs/>
                <w:color w:val="000000"/>
                <w:sz w:val="24"/>
                <w:highlight w:val="none"/>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300,000.00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p>
            <w:pPr>
              <w:snapToGrid w:val="0"/>
              <w:rPr>
                <w:rFonts w:hint="eastAsia" w:eastAsia="楷体_GB2312"/>
                <w:lang w:val="en-US" w:eastAsia="zh-CN"/>
              </w:rPr>
            </w:pPr>
            <w:r>
              <w:rPr>
                <w:rFonts w:hint="eastAsia" w:ascii="楷体_GB2312" w:hAnsi="宋体" w:eastAsia="楷体_GB2312"/>
                <w:color w:val="auto"/>
                <w:sz w:val="24"/>
                <w:lang w:val="en-US" w:eastAsia="zh-CN"/>
              </w:rPr>
              <w:t>浙BA类</w:t>
            </w:r>
            <w:r>
              <w:rPr>
                <w:rFonts w:hint="eastAsia" w:ascii="楷体_GB2312" w:hAnsi="宋体" w:eastAsia="楷体_GB2312"/>
                <w:color w:val="auto"/>
                <w:sz w:val="24"/>
                <w:highlight w:val="none"/>
              </w:rPr>
              <w:t>份额：</w:t>
            </w:r>
            <w:r>
              <w:rPr>
                <w:rFonts w:hint="eastAsia" w:ascii="楷体_GB2312" w:eastAsia="楷体_GB2312"/>
                <w:bCs/>
                <w:color w:val="auto"/>
                <w:sz w:val="24"/>
                <w:highlight w:val="none"/>
              </w:rPr>
              <w:t>投资起点为</w:t>
            </w:r>
            <w:r>
              <w:rPr>
                <w:rFonts w:hint="eastAsia" w:ascii="楷体_GB2312" w:eastAsia="楷体_GB2312"/>
                <w:bCs/>
                <w:color w:val="auto"/>
                <w:sz w:val="24"/>
                <w:highlight w:val="none"/>
                <w:lang w:val="en-US" w:eastAsia="zh-CN"/>
              </w:rPr>
              <w:t>1.00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产品募集规模下限</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本理财产品募集规模下限为：不设下限。</w:t>
            </w:r>
          </w:p>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本理财产品</w:t>
            </w:r>
            <w:r>
              <w:rPr>
                <w:rFonts w:hint="eastAsia" w:ascii="楷体_GB2312" w:hAnsi="宋体" w:eastAsia="楷体_GB2312"/>
                <w:color w:val="auto"/>
                <w:sz w:val="24"/>
                <w:highlight w:val="none"/>
              </w:rPr>
              <w:t>募集期届满或</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提前</w:t>
            </w:r>
            <w:r>
              <w:rPr>
                <w:rFonts w:hint="eastAsia" w:ascii="楷体_GB2312" w:hAnsi="宋体" w:eastAsia="楷体_GB2312"/>
                <w:color w:val="auto"/>
                <w:sz w:val="24"/>
                <w:highlight w:val="none"/>
                <w:lang w:val="en-US" w:eastAsia="zh-CN"/>
              </w:rPr>
              <w:t>/延迟</w:t>
            </w:r>
            <w:r>
              <w:rPr>
                <w:rFonts w:hint="eastAsia" w:ascii="楷体_GB2312" w:hAnsi="宋体" w:eastAsia="楷体_GB2312"/>
                <w:color w:val="auto"/>
                <w:sz w:val="24"/>
                <w:highlight w:val="none"/>
              </w:rPr>
              <w:t>结束募集期时，若募集资金达到募集下限，则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理财产品成立；否则，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理财产品不成立。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产品募集规模上限</w:t>
            </w:r>
          </w:p>
        </w:tc>
        <w:tc>
          <w:tcPr>
            <w:tcW w:w="6633" w:type="dxa"/>
            <w:vAlign w:val="center"/>
          </w:tcPr>
          <w:p>
            <w:pPr>
              <w:snapToGrid w:val="0"/>
              <w:rPr>
                <w:rFonts w:hint="eastAsia" w:ascii="楷体_GB2312" w:hAnsi="宋体" w:eastAsia="楷体_GB2312" w:cs="Times New Roman"/>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本理财产品募集规模上限为：500亿元。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开放日（T日）</w:t>
            </w:r>
          </w:p>
        </w:tc>
        <w:tc>
          <w:tcPr>
            <w:tcW w:w="6633" w:type="dxa"/>
            <w:vAlign w:val="center"/>
          </w:tcPr>
          <w:p>
            <w:pPr>
              <w:rPr>
                <w:rFonts w:ascii="楷体_GB2312" w:eastAsia="楷体_GB2312"/>
                <w:bCs/>
                <w:color w:val="000000"/>
                <w:sz w:val="24"/>
                <w:highlight w:val="none"/>
              </w:rPr>
            </w:pPr>
            <w:r>
              <w:rPr>
                <w:rFonts w:hint="default" w:ascii="楷体_GB2312" w:hAnsi="Times New Roman" w:eastAsia="楷体_GB2312" w:cs="Times New Roman"/>
                <w:bCs/>
                <w:color w:val="auto"/>
                <w:sz w:val="24"/>
                <w:highlight w:val="none"/>
              </w:rPr>
              <w:t>自</w:t>
            </w:r>
            <w:r>
              <w:rPr>
                <w:rFonts w:hint="eastAsia" w:ascii="楷体_GB2312" w:hAnsi="Times New Roman" w:eastAsia="楷体_GB2312" w:cs="Times New Roman"/>
                <w:bCs/>
                <w:color w:val="auto"/>
                <w:sz w:val="24"/>
                <w:highlight w:val="none"/>
                <w:lang w:val="en-US" w:eastAsia="zh-CN"/>
              </w:rPr>
              <w:t>本理财</w:t>
            </w:r>
            <w:r>
              <w:rPr>
                <w:rFonts w:hint="default" w:ascii="楷体_GB2312" w:hAnsi="Times New Roman" w:eastAsia="楷体_GB2312" w:cs="Times New Roman"/>
                <w:bCs/>
                <w:color w:val="auto"/>
                <w:sz w:val="24"/>
                <w:highlight w:val="none"/>
              </w:rPr>
              <w:t>产品成立日起每个证券交易所交易日（如</w:t>
            </w:r>
            <w:r>
              <w:rPr>
                <w:rFonts w:hint="eastAsia" w:ascii="楷体_GB2312" w:hAnsi="Times New Roman" w:eastAsia="楷体_GB2312" w:cs="Times New Roman"/>
                <w:bCs/>
                <w:color w:val="auto"/>
                <w:sz w:val="24"/>
                <w:highlight w:val="none"/>
                <w:lang w:val="en-US" w:eastAsia="zh-CN"/>
              </w:rPr>
              <w:t>该日</w:t>
            </w:r>
            <w:r>
              <w:rPr>
                <w:rFonts w:hint="default" w:ascii="楷体_GB2312" w:hAnsi="Times New Roman" w:eastAsia="楷体_GB2312" w:cs="Times New Roman"/>
                <w:bCs/>
                <w:color w:val="auto"/>
                <w:sz w:val="24"/>
                <w:highlight w:val="none"/>
              </w:rPr>
              <w:t>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451" w:type="dxa"/>
            <w:vAlign w:val="center"/>
          </w:tcPr>
          <w:p>
            <w:pPr>
              <w:snapToGrid w:val="0"/>
              <w:rPr>
                <w:rFonts w:ascii="楷体_GB2312" w:eastAsia="楷体_GB2312"/>
                <w:bCs/>
                <w:color w:val="000000"/>
                <w:sz w:val="24"/>
                <w:highlight w:val="none"/>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highlight w:val="none"/>
              </w:rPr>
              <w:t>最低持有期</w:t>
            </w:r>
          </w:p>
        </w:tc>
        <w:tc>
          <w:tcPr>
            <w:tcW w:w="6633" w:type="dxa"/>
            <w:vAlign w:val="center"/>
          </w:tcPr>
          <w:p>
            <w:pPr>
              <w:rPr>
                <w:rFonts w:hint="eastAsia" w:ascii="楷体_GB2312" w:hAnsi="宋体" w:eastAsia="楷体_GB2312"/>
                <w:b/>
                <w:bCs/>
                <w:color w:val="000000"/>
                <w:sz w:val="24"/>
                <w:highlight w:val="none"/>
              </w:rPr>
            </w:pPr>
            <w:r>
              <w:rPr>
                <w:rFonts w:hint="eastAsia" w:ascii="楷体_GB2312" w:hAnsi="宋体" w:eastAsia="楷体_GB2312"/>
                <w:b/>
                <w:bCs/>
                <w:color w:val="000000"/>
                <w:sz w:val="24"/>
                <w:highlight w:val="none"/>
              </w:rPr>
              <w:t>最低持有期</w:t>
            </w:r>
            <w:r>
              <w:rPr>
                <w:rFonts w:hint="eastAsia" w:ascii="楷体_GB2312" w:hAnsi="宋体" w:eastAsia="楷体_GB2312"/>
                <w:b/>
                <w:bCs/>
                <w:color w:val="000000"/>
                <w:sz w:val="24"/>
                <w:highlight w:val="none"/>
                <w:lang w:val="en-US" w:eastAsia="zh-CN"/>
              </w:rPr>
              <w:t>：指投资者每笔认购/申购的产品份额</w:t>
            </w:r>
            <w:r>
              <w:rPr>
                <w:rFonts w:hint="eastAsia" w:ascii="楷体_GB2312" w:hAnsi="宋体" w:eastAsia="楷体_GB2312"/>
                <w:b/>
                <w:bCs/>
                <w:color w:val="000000"/>
                <w:sz w:val="24"/>
                <w:highlight w:val="none"/>
              </w:rPr>
              <w:t>自认购/申购确认日（含）起</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最低需持有7</w:t>
            </w:r>
            <w:r>
              <w:rPr>
                <w:rFonts w:hint="eastAsia" w:ascii="楷体_GB2312" w:hAnsi="宋体" w:eastAsia="楷体_GB2312"/>
                <w:b/>
                <w:bCs/>
                <w:color w:val="000000"/>
                <w:sz w:val="24"/>
                <w:highlight w:val="none"/>
              </w:rPr>
              <w:t>个自然日。</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投资者可在每笔认购/申购的产品份额确认后于最低持有期结束日（含）及后续每个开放日提出赎回申请。最低持有期结束日如遇非开放日，则顺延至下一开放日，投资者最低持有期限实际上可能长于7个自然日。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1"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33" w:type="dxa"/>
            <w:vAlign w:val="center"/>
          </w:tcPr>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1.</w:t>
            </w:r>
            <w:r>
              <w:rPr>
                <w:rFonts w:hint="eastAsia" w:ascii="楷体_GB2312" w:hAnsi="Times New Roman" w:eastAsia="楷体_GB2312" w:cs="Times New Roman"/>
                <w:bCs/>
                <w:color w:val="auto"/>
                <w:sz w:val="24"/>
                <w:highlight w:val="none"/>
              </w:rPr>
              <w:t>申购和赎回的受理：</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eastAsia="楷体_GB2312"/>
                <w:bCs/>
                <w:color w:val="auto"/>
                <w:sz w:val="24"/>
                <w:highlight w:val="none"/>
              </w:rPr>
              <w:t>投资者可在本理财产品开放日内提出申购申请；投资者可在每笔认购/申购的产品份额确认后于最低持有期结束日（含）及后续每个开放日提出赎回申请。最低持有期结束日如遇非开放日，则顺延至下一开放日。</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投资者</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eastAsia="zh-CN"/>
              </w:rPr>
              <w:t>开放日</w:t>
            </w:r>
            <w:r>
              <w:rPr>
                <w:rFonts w:hint="eastAsia" w:ascii="楷体_GB2312" w:hAnsi="宋体" w:eastAsia="楷体_GB2312"/>
                <w:color w:val="auto"/>
                <w:sz w:val="24"/>
                <w:highlight w:val="none"/>
              </w:rPr>
              <w:t>内</w:t>
            </w:r>
            <w:r>
              <w:rPr>
                <w:rFonts w:hint="eastAsia" w:ascii="楷体_GB2312" w:hAnsi="Times New Roman" w:eastAsia="楷体_GB2312" w:cs="Times New Roman"/>
                <w:bCs/>
                <w:color w:val="auto"/>
                <w:sz w:val="24"/>
                <w:highlight w:val="none"/>
              </w:rPr>
              <w:t>提出申购申请后，投资资金将实时冻结，并于申购确认日扣划。</w:t>
            </w:r>
            <w:r>
              <w:rPr>
                <w:rFonts w:hint="eastAsia" w:ascii="楷体_GB2312" w:hAnsi="Times New Roman" w:eastAsia="楷体_GB2312" w:cs="Times New Roman"/>
                <w:b/>
                <w:bCs w:val="0"/>
                <w:color w:val="auto"/>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（不含）之前提出的申购或赎回申请，产品管理人在开放日的下一个交易日（T+1日）对满足条件的有效申购或赎回申请予以确认；投资者在开放日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（含）之后或非开放日提出的申购或赎回申请，产品管理人将在投资者提出申购或赎回申请之后的产品最近一个开放日的下一个交易日（T+</w:t>
            </w:r>
            <w:r>
              <w:rPr>
                <w:rFonts w:hint="eastAsia" w:ascii="楷体_GB2312" w:eastAsia="楷体_GB2312" w:cs="Times New Roman"/>
                <w:b/>
                <w:bCs w:val="0"/>
                <w:color w:val="000000"/>
                <w:sz w:val="24"/>
                <w:highlight w:val="none"/>
                <w:lang w:val="en-US" w:eastAsia="zh-CN"/>
              </w:rPr>
              <w:t>2</w:t>
            </w:r>
            <w:r>
              <w:rPr>
                <w:rFonts w:hint="eastAsia" w:ascii="楷体_GB2312" w:hAnsi="Times New Roman" w:eastAsia="楷体_GB2312" w:cs="Times New Roman"/>
                <w:b/>
                <w:bCs w:val="0"/>
                <w:color w:val="000000"/>
                <w:sz w:val="24"/>
                <w:highlight w:val="none"/>
              </w:rPr>
              <w:t>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3.</w:t>
            </w:r>
            <w:r>
              <w:rPr>
                <w:rFonts w:hint="eastAsia" w:ascii="楷体_GB2312" w:hAnsi="Times New Roman" w:eastAsia="楷体_GB2312" w:cs="Times New Roman"/>
                <w:bCs/>
                <w:color w:val="auto"/>
                <w:sz w:val="24"/>
                <w:highlight w:val="none"/>
              </w:rPr>
              <w:t>申购/赎回价格：</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产品开放日的产品单位净值。</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4.</w:t>
            </w:r>
            <w:r>
              <w:rPr>
                <w:rFonts w:hint="eastAsia" w:ascii="楷体_GB2312" w:hAnsi="Times New Roman" w:eastAsia="楷体_GB2312" w:cs="Times New Roman"/>
                <w:bCs/>
                <w:color w:val="auto"/>
                <w:sz w:val="24"/>
                <w:highlight w:val="none"/>
              </w:rPr>
              <w:t>巨额赎回：在</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auto"/>
                <w:sz w:val="24"/>
                <w:highlight w:val="none"/>
                <w:lang w:val="en-US" w:eastAsia="zh-CN"/>
              </w:rPr>
              <w:t>前</w:t>
            </w:r>
            <w:r>
              <w:rPr>
                <w:rFonts w:hint="eastAsia" w:ascii="楷体_GB2312" w:hAnsi="Times New Roman" w:eastAsia="楷体_GB2312" w:cs="Times New Roman"/>
                <w:bCs/>
                <w:color w:val="auto"/>
                <w:sz w:val="24"/>
                <w:highlight w:val="none"/>
              </w:rPr>
              <w:t>一日</w:t>
            </w:r>
            <w:r>
              <w:rPr>
                <w:rFonts w:hint="eastAsia" w:ascii="楷体_GB2312" w:hAnsi="Times New Roman" w:eastAsia="楷体_GB2312" w:cs="Times New Roman"/>
                <w:bCs/>
                <w:color w:val="auto"/>
                <w:sz w:val="24"/>
                <w:highlight w:val="none"/>
                <w:lang w:val="en-US" w:eastAsia="zh-CN"/>
              </w:rPr>
              <w:t>终本理财</w:t>
            </w:r>
            <w:r>
              <w:rPr>
                <w:rFonts w:hint="eastAsia" w:ascii="楷体_GB2312" w:hAnsi="Times New Roman" w:eastAsia="楷体_GB2312" w:cs="Times New Roman"/>
                <w:bCs/>
                <w:color w:val="auto"/>
                <w:sz w:val="24"/>
                <w:highlight w:val="none"/>
              </w:rPr>
              <w:t>产品总份额的10％时，即为巨额赎回。</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★申购</w:t>
            </w:r>
            <w:r>
              <w:rPr>
                <w:rFonts w:hint="eastAsia" w:ascii="楷体_GB2312" w:hAnsi="宋体" w:eastAsia="楷体_GB2312"/>
                <w:b/>
                <w:bCs/>
                <w:color w:val="auto"/>
                <w:sz w:val="24"/>
                <w:highlight w:val="none"/>
                <w:lang w:val="en-US" w:eastAsia="zh-CN"/>
              </w:rPr>
              <w:t>与</w:t>
            </w:r>
            <w:r>
              <w:rPr>
                <w:rFonts w:hint="eastAsia" w:ascii="楷体_GB2312" w:hAnsi="宋体" w:eastAsia="楷体_GB2312"/>
                <w:b/>
                <w:bCs/>
                <w:color w:val="auto"/>
                <w:sz w:val="24"/>
                <w:highlight w:val="none"/>
              </w:rPr>
              <w:t>赎回</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六、产品的申购和赎回</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业绩比较基准</w:t>
            </w:r>
          </w:p>
        </w:tc>
        <w:tc>
          <w:tcPr>
            <w:tcW w:w="6633" w:type="dxa"/>
            <w:vAlign w:val="center"/>
          </w:tcPr>
          <w:p>
            <w:pPr>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本理财产品业绩比较基准为</w:t>
            </w:r>
          </w:p>
          <w:p>
            <w:pPr>
              <w:rPr>
                <w:rFonts w:hint="eastAsia" w:ascii="楷体_GB2312" w:eastAsia="楷体_GB2312"/>
                <w:color w:val="000000"/>
                <w:sz w:val="24"/>
                <w:highlight w:val="none"/>
                <w:lang w:eastAsia="zh-CN"/>
              </w:rPr>
            </w:pPr>
            <w:r>
              <w:rPr>
                <w:rFonts w:hint="eastAsia" w:ascii="楷体_GB2312" w:eastAsia="楷体_GB2312"/>
                <w:color w:val="000000"/>
                <w:sz w:val="24"/>
                <w:highlight w:val="none"/>
                <w:lang w:val="en-US" w:eastAsia="zh-CN"/>
              </w:rPr>
              <w:t>A</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80</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2.70</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eastAsia="楷体_GB2312"/>
                <w:color w:val="000000"/>
                <w:sz w:val="24"/>
                <w:highlight w:val="none"/>
                <w:lang w:eastAsia="zh-CN"/>
              </w:rPr>
            </w:pPr>
            <w:r>
              <w:rPr>
                <w:rFonts w:hint="eastAsia" w:ascii="楷体_GB2312" w:hAnsi="宋体" w:eastAsia="楷体_GB2312" w:cs="Times New Roman"/>
                <w:color w:val="000000"/>
                <w:sz w:val="24"/>
                <w:lang w:val="en-US" w:eastAsia="zh-CN"/>
              </w:rPr>
              <w:t>B</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85</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2.75</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lang w:val="en-US" w:eastAsia="zh-CN"/>
              </w:rPr>
            </w:pPr>
            <w:r>
              <w:rPr>
                <w:rFonts w:hint="eastAsia" w:ascii="楷体_GB2312" w:eastAsia="楷体_GB2312"/>
                <w:color w:val="000000"/>
                <w:sz w:val="24"/>
                <w:highlight w:val="none"/>
                <w:lang w:val="en-US" w:eastAsia="zh-CN"/>
              </w:rPr>
              <w:t>浙BA</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90</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2.80</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lang w:val="en-US" w:eastAsia="zh-CN"/>
              </w:rPr>
              <w:t>本理财产品业绩比较基准是产品管理人在本《理财产品说明书》约定的投资范围内，根据产品投资策略、市场环境、各类资产的投</w:t>
            </w:r>
            <w:r>
              <w:rPr>
                <w:rFonts w:hint="eastAsia" w:ascii="楷体_GB2312" w:hAnsi="宋体" w:eastAsia="楷体_GB2312" w:cs="Times New Roman"/>
                <w:color w:val="000000"/>
                <w:sz w:val="24"/>
                <w:highlight w:val="none"/>
                <w:lang w:val="en-US" w:eastAsia="zh-CN"/>
              </w:rPr>
              <w:t>资比例，并同时参考发行时已知的【</w:t>
            </w:r>
            <w:r>
              <w:rPr>
                <w:rFonts w:hint="eastAsia" w:ascii="楷体_GB2312" w:hAnsi="宋体" w:eastAsia="楷体_GB2312"/>
                <w:color w:val="auto"/>
                <w:sz w:val="24"/>
                <w:highlight w:val="none"/>
              </w:rPr>
              <w:t>同业存单、信用债和存款等资产仓位不低于</w:t>
            </w:r>
            <w:r>
              <w:rPr>
                <w:rFonts w:ascii="楷体_GB2312" w:hAnsi="宋体" w:eastAsia="楷体_GB2312"/>
                <w:color w:val="auto"/>
                <w:sz w:val="24"/>
                <w:highlight w:val="none"/>
              </w:rPr>
              <w:t>8</w:t>
            </w:r>
            <w:r>
              <w:rPr>
                <w:rFonts w:hint="default" w:ascii="楷体_GB2312" w:hAnsi="宋体" w:eastAsia="楷体_GB2312"/>
                <w:color w:val="auto"/>
                <w:sz w:val="24"/>
                <w:highlight w:val="none"/>
                <w:lang w:val="en-US"/>
              </w:rPr>
              <w:t>5</w:t>
            </w:r>
            <w:r>
              <w:rPr>
                <w:rFonts w:hint="eastAsia" w:ascii="楷体_GB2312" w:hAnsi="宋体" w:eastAsia="楷体_GB2312"/>
                <w:color w:val="auto"/>
                <w:sz w:val="24"/>
                <w:highlight w:val="none"/>
              </w:rPr>
              <w:t>%为例</w:t>
            </w:r>
            <w:r>
              <w:rPr>
                <w:rFonts w:hint="eastAsia" w:ascii="楷体_GB2312" w:hAnsi="宋体" w:eastAsia="楷体_GB2312"/>
                <w:color w:val="auto"/>
                <w:sz w:val="24"/>
                <w:highlight w:val="none"/>
                <w:lang w:val="en-US" w:eastAsia="zh-CN"/>
              </w:rPr>
              <w:t>及</w:t>
            </w:r>
            <w:r>
              <w:rPr>
                <w:rFonts w:hint="eastAsia" w:ascii="楷体_GB2312" w:hAnsi="宋体" w:eastAsia="楷体_GB2312"/>
                <w:color w:val="auto"/>
                <w:sz w:val="24"/>
                <w:highlight w:val="none"/>
              </w:rPr>
              <w:t>中债-综合财富指数收益率、产品综合费率</w:t>
            </w:r>
            <w:r>
              <w:rPr>
                <w:rFonts w:hint="eastAsia" w:ascii="楷体_GB2312" w:hAnsi="宋体" w:eastAsia="楷体_GB2312" w:cs="Times New Roman"/>
                <w:color w:val="000000"/>
                <w:sz w:val="24"/>
                <w:highlight w:val="none"/>
                <w:lang w:val="en-US" w:eastAsia="zh-CN"/>
              </w:rPr>
              <w:t>】等因素综合测算而得出。</w:t>
            </w:r>
          </w:p>
          <w:p>
            <w:pPr>
              <w:rPr>
                <w:rFonts w:hint="eastAsia" w:ascii="楷体_GB2312" w:hAnsi="宋体" w:eastAsia="楷体_GB2312"/>
                <w:b/>
                <w:bCs/>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业绩比较基准是</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管理人基于产品性质、投资策略、过往经验、市场预判等因素对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产品设定的投资目标。</w:t>
            </w:r>
            <w:r>
              <w:rPr>
                <w:rFonts w:hint="eastAsia" w:ascii="楷体_GB2312" w:hAnsi="宋体" w:eastAsia="楷体_GB2312"/>
                <w:b/>
                <w:bCs/>
                <w:color w:val="000000"/>
                <w:sz w:val="24"/>
                <w:highlight w:val="none"/>
              </w:rPr>
              <w:t>业绩比较基准不是预期收益率，不代表产品的未来表现和实际收益，不构成对产品收益的承诺</w:t>
            </w:r>
            <w:r>
              <w:rPr>
                <w:rFonts w:hint="eastAsia" w:ascii="楷体_GB2312" w:hAnsi="宋体" w:eastAsia="楷体_GB2312"/>
                <w:b/>
                <w:bCs/>
                <w:color w:val="000000"/>
                <w:sz w:val="24"/>
                <w:highlight w:val="none"/>
                <w:lang w:eastAsia="zh-Hans"/>
              </w:rPr>
              <w:t>，投资</w:t>
            </w:r>
            <w:r>
              <w:rPr>
                <w:rFonts w:hint="eastAsia" w:ascii="楷体_GB2312" w:hAnsi="宋体" w:eastAsia="楷体_GB2312"/>
                <w:b/>
                <w:bCs/>
                <w:color w:val="000000"/>
                <w:sz w:val="24"/>
                <w:highlight w:val="none"/>
              </w:rPr>
              <w:t>须</w:t>
            </w:r>
            <w:r>
              <w:rPr>
                <w:rFonts w:hint="eastAsia" w:ascii="楷体_GB2312" w:hAnsi="宋体" w:eastAsia="楷体_GB2312"/>
                <w:b/>
                <w:bCs/>
                <w:color w:val="000000"/>
                <w:sz w:val="24"/>
                <w:highlight w:val="none"/>
                <w:lang w:eastAsia="zh-Hans"/>
              </w:rPr>
              <w:t>谨慎</w:t>
            </w:r>
            <w:r>
              <w:rPr>
                <w:rFonts w:hint="eastAsia" w:ascii="楷体_GB2312" w:hAnsi="宋体" w:eastAsia="楷体_GB2312"/>
                <w:b/>
                <w:bCs/>
                <w:color w:val="000000"/>
                <w:sz w:val="24"/>
                <w:highlight w:val="none"/>
              </w:rPr>
              <w:t>。</w:t>
            </w:r>
          </w:p>
          <w:p>
            <w:pPr>
              <w:rPr>
                <w:rFonts w:ascii="楷体_GB2312" w:hAnsi="宋体" w:eastAsia="楷体_GB2312"/>
                <w:color w:val="000000"/>
                <w:sz w:val="24"/>
              </w:rPr>
            </w:pPr>
            <w:r>
              <w:rPr>
                <w:rFonts w:hint="eastAsia" w:ascii="楷体_GB2312" w:hAnsi="宋体" w:eastAsia="楷体_GB2312"/>
                <w:color w:val="000000"/>
                <w:sz w:val="24"/>
                <w:highlight w:val="none"/>
              </w:rPr>
              <w:t>若今后法律法规发生变化，或有其他代表性更强、更科学客观的业绩比较基准适用于本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产品时，</w:t>
            </w:r>
            <w:r>
              <w:rPr>
                <w:rFonts w:ascii="楷体_GB2312" w:hAnsi="Times New Roman" w:eastAsia="楷体_GB2312" w:cs="楷体_GB2312"/>
                <w:b w:val="0"/>
                <w:bCs w:val="0"/>
                <w:i w:val="0"/>
                <w:iCs w:val="0"/>
                <w:caps w:val="0"/>
                <w:color w:val="000000"/>
                <w:spacing w:val="0"/>
                <w:sz w:val="24"/>
                <w:szCs w:val="24"/>
                <w:highlight w:val="none"/>
              </w:rPr>
              <w:t>产品管理人应根据市场研判等情况审慎决定业绩比较基准的调整事项。如确需调整，除应通过代销机构网站等常规展示方式向投资者充分、醒目披露调整信息和原因外，还应按照信息披露相关要求及时履行向理财产品持有人的告知义务</w:t>
            </w:r>
            <w:r>
              <w:rPr>
                <w:rFonts w:hint="eastAsia" w:ascii="楷体_GB2312" w:hAnsi="宋体" w:eastAsia="楷体_GB2312"/>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收益分配</w:t>
            </w:r>
            <w:r>
              <w:rPr>
                <w:rFonts w:hint="eastAsia" w:ascii="楷体_GB2312" w:eastAsia="楷体_GB2312"/>
                <w:bCs/>
                <w:color w:val="auto"/>
                <w:sz w:val="24"/>
                <w:highlight w:val="none"/>
                <w:lang w:val="en-US" w:eastAsia="zh-CN"/>
              </w:rPr>
              <w:t>方式</w:t>
            </w:r>
          </w:p>
        </w:tc>
        <w:tc>
          <w:tcPr>
            <w:tcW w:w="6633"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r>
              <w:rPr>
                <w:rFonts w:hint="eastAsia" w:ascii="楷体_GB2312" w:hAnsi="宋体" w:eastAsia="楷体_GB2312"/>
                <w:color w:val="000000"/>
                <w:sz w:val="24"/>
                <w:highlight w:val="none"/>
                <w:lang w:val="en-US" w:eastAsia="zh-CN"/>
              </w:rPr>
              <w:t>分红原则</w:t>
            </w:r>
            <w:r>
              <w:rPr>
                <w:rFonts w:hint="eastAsia" w:ascii="楷体_GB2312" w:hAnsi="宋体" w:eastAsia="楷体_GB2312"/>
                <w:color w:val="000000"/>
                <w:sz w:val="24"/>
                <w:highlight w:val="none"/>
                <w:lang w:eastAsia="zh-Hans"/>
              </w:rPr>
              <w:t>详见</w:t>
            </w:r>
            <w:r>
              <w:rPr>
                <w:rFonts w:hint="eastAsia" w:ascii="楷体_GB2312" w:hAnsi="宋体" w:eastAsia="楷体_GB2312"/>
                <w:bCs w:val="0"/>
                <w:color w:val="000000"/>
                <w:sz w:val="24"/>
                <w:szCs w:val="24"/>
                <w:highlight w:val="none"/>
                <w:lang w:val="en-US" w:eastAsia="zh-CN"/>
              </w:rPr>
              <w:t>本《</w:t>
            </w:r>
            <w:r>
              <w:rPr>
                <w:rFonts w:hint="eastAsia" w:ascii="楷体_GB2312" w:eastAsia="楷体_GB2312"/>
                <w:color w:val="000000"/>
                <w:sz w:val="24"/>
                <w:highlight w:val="none"/>
                <w:lang w:val="en-US" w:eastAsia="zh-CN"/>
              </w:rPr>
              <w:t>理财产品说明书</w:t>
            </w:r>
            <w:r>
              <w:rPr>
                <w:rFonts w:hint="eastAsia" w:ascii="楷体_GB2312" w:hAnsi="宋体" w:eastAsia="楷体_GB2312"/>
                <w:bCs w:val="0"/>
                <w:color w:val="000000"/>
                <w:sz w:val="24"/>
                <w:szCs w:val="24"/>
                <w:highlight w:val="none"/>
                <w:lang w:val="en-US" w:eastAsia="zh-CN"/>
              </w:rPr>
              <w:t>》</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rPr>
              <w:t>产品的收益分配</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中（二）收益分配原则和</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r>
              <w:rPr>
                <w:rFonts w:hint="eastAsia" w:ascii="楷体_GB2312" w:hAnsi="宋体" w:eastAsia="楷体_GB2312"/>
                <w:color w:val="000000"/>
                <w:sz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 w:hRule="atLeast"/>
        </w:trPr>
        <w:tc>
          <w:tcPr>
            <w:tcW w:w="2451" w:type="dxa"/>
            <w:vAlign w:val="center"/>
          </w:tcPr>
          <w:p>
            <w:pPr>
              <w:rPr>
                <w:rFonts w:ascii="楷体_GB2312" w:hAnsi="宋体" w:eastAsia="楷体_GB2312"/>
                <w:color w:val="000000"/>
                <w:sz w:val="24"/>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rPr>
              <w:t>产品费用</w:t>
            </w:r>
          </w:p>
        </w:tc>
        <w:tc>
          <w:tcPr>
            <w:tcW w:w="6633" w:type="dxa"/>
            <w:vAlign w:val="center"/>
          </w:tcPr>
          <w:p>
            <w:pPr>
              <w:rPr>
                <w:rFonts w:hint="eastAsia" w:ascii="楷体_GB2312" w:hAnsi="宋体" w:eastAsia="楷体_GB2312"/>
                <w:b/>
                <w:bCs/>
                <w:color w:val="auto"/>
                <w:sz w:val="24"/>
                <w:highlight w:val="none"/>
              </w:rPr>
            </w:pPr>
            <w:r>
              <w:rPr>
                <w:rFonts w:hint="eastAsia" w:ascii="楷体_GB2312" w:hAnsi="宋体" w:eastAsia="楷体_GB2312"/>
                <w:b/>
                <w:bCs/>
                <w:color w:val="auto"/>
                <w:sz w:val="24"/>
                <w:highlight w:val="none"/>
              </w:rPr>
              <w:t>★1</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销售手续费率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代销机构收取）</w:t>
            </w:r>
            <w:r>
              <w:rPr>
                <w:rFonts w:hint="eastAsia" w:ascii="楷体_GB2312" w:hAnsi="宋体" w:eastAsia="楷体_GB2312"/>
                <w:b/>
                <w:bCs/>
                <w:color w:val="auto"/>
                <w:sz w:val="24"/>
                <w:highlight w:val="none"/>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A类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0.20</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B类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0.15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hint="eastAsia" w:ascii="楷体_GB2312" w:hAnsi="宋体" w:eastAsia="楷体_GB2312" w:cs="Times New Roman"/>
                <w:color w:val="000000"/>
                <w:sz w:val="24"/>
                <w:lang w:val="en-US" w:eastAsia="zh-CN"/>
              </w:rPr>
            </w:pPr>
            <w:r>
              <w:rPr>
                <w:rFonts w:hint="eastAsia" w:ascii="楷体_GB2312" w:eastAsia="楷体_GB2312"/>
                <w:color w:val="000000"/>
                <w:sz w:val="24"/>
                <w:highlight w:val="none"/>
                <w:lang w:val="en-US" w:eastAsia="zh-CN"/>
              </w:rPr>
              <w:t>浙BA</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0.10%/年</w:t>
            </w:r>
            <w:r>
              <w:rPr>
                <w:rFonts w:hint="eastAsia" w:ascii="楷体_GB2312" w:eastAsia="楷体_GB2312"/>
                <w:color w:val="000000"/>
                <w:sz w:val="24"/>
                <w:highlight w:val="none"/>
                <w:lang w:eastAsia="zh-CN"/>
              </w:rPr>
              <w:t>；</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★2</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固定管理费率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产品管理人收取）</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0.16</w:t>
            </w:r>
            <w:r>
              <w:rPr>
                <w:rFonts w:hint="eastAsia" w:ascii="楷体_GB2312" w:hAnsi="宋体" w:eastAsia="楷体_GB2312"/>
                <w:color w:val="auto"/>
                <w:sz w:val="24"/>
                <w:highlight w:val="none"/>
              </w:rPr>
              <w:t>%/年</w:t>
            </w:r>
          </w:p>
          <w:p>
            <w:pPr>
              <w:pStyle w:val="42"/>
              <w:numPr>
                <w:ilvl w:val="-1"/>
                <w:numId w:val="0"/>
              </w:numPr>
              <w:ind w:left="0" w:firstLine="0" w:firstLineChars="0"/>
              <w:rPr>
                <w:rFonts w:ascii="楷体_GB2312" w:hAnsi="宋体" w:eastAsia="楷体_GB2312"/>
                <w:color w:val="000000"/>
                <w:sz w:val="24"/>
                <w:highlight w:val="none"/>
              </w:rPr>
            </w:pPr>
            <w:r>
              <w:rPr>
                <w:rFonts w:hint="eastAsia" w:ascii="楷体_GB2312" w:hAnsi="宋体" w:eastAsia="楷体_GB2312"/>
                <w:b/>
                <w:bCs/>
                <w:color w:val="auto"/>
                <w:sz w:val="24"/>
                <w:highlight w:val="none"/>
              </w:rPr>
              <w:t>★3</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托管费率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产品托管人收取</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0.03</w:t>
            </w:r>
            <w:r>
              <w:rPr>
                <w:rFonts w:hint="eastAsia" w:ascii="楷体_GB2312" w:hAnsi="宋体" w:eastAsia="楷体_GB2312"/>
                <w:color w:val="auto"/>
                <w:sz w:val="24"/>
                <w:highlight w:val="none"/>
              </w:rPr>
              <w:t>%</w:t>
            </w:r>
            <w:r>
              <w:rPr>
                <w:rFonts w:hint="eastAsia" w:ascii="楷体_GB2312" w:hAnsi="宋体" w:eastAsia="楷体_GB2312"/>
                <w:b w:val="0"/>
                <w:bCs w:val="0"/>
                <w:color w:val="000000"/>
                <w:sz w:val="24"/>
                <w:highlight w:val="none"/>
              </w:rPr>
              <w:t>/年</w:t>
            </w:r>
          </w:p>
          <w:p>
            <w:pPr>
              <w:rPr>
                <w:rFonts w:hint="eastAsia" w:ascii="楷体_GB2312" w:hAnsi="宋体" w:eastAsia="楷体_GB2312"/>
                <w:color w:val="auto"/>
                <w:sz w:val="24"/>
                <w:highlight w:val="none"/>
              </w:rPr>
            </w:pPr>
            <w:r>
              <w:rPr>
                <w:rFonts w:hint="eastAsia" w:ascii="楷体_GB2312" w:hAnsi="宋体" w:eastAsia="楷体_GB2312"/>
                <w:b/>
                <w:bCs/>
                <w:color w:val="auto"/>
                <w:sz w:val="24"/>
                <w:highlight w:val="none"/>
              </w:rPr>
              <w:t>★4.</w:t>
            </w:r>
            <w:r>
              <w:rPr>
                <w:rFonts w:hint="eastAsia" w:ascii="楷体_GB2312" w:hAnsi="宋体" w:eastAsia="楷体_GB2312" w:cs="Times New Roman"/>
                <w:b/>
                <w:bCs/>
                <w:color w:val="auto"/>
                <w:sz w:val="24"/>
                <w:highlight w:val="none"/>
              </w:rPr>
              <w:t>管理成本费用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相关机构收取</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rPr>
              <w:t>为本理财产品项下投资交易提供专属信托、保管、托管、咨询、顾问、管理等服务所产生的费用(如基金管理费、投资顾问费、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auto"/>
                <w:sz w:val="24"/>
                <w:highlight w:val="none"/>
                <w:lang w:val="en-US" w:eastAsia="zh-CN"/>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5</w:t>
            </w:r>
            <w:r>
              <w:rPr>
                <w:rFonts w:hint="eastAsia" w:ascii="楷体_GB2312" w:hAnsi="宋体" w:eastAsia="楷体_GB2312"/>
                <w:b/>
                <w:bCs/>
                <w:color w:val="auto"/>
                <w:sz w:val="24"/>
                <w:highlight w:val="none"/>
              </w:rPr>
              <w:t>.</w:t>
            </w:r>
            <w:r>
              <w:rPr>
                <w:rFonts w:hint="eastAsia" w:ascii="楷体_GB2312" w:hAnsi="宋体" w:eastAsia="楷体_GB2312" w:cs="Times New Roman"/>
                <w:b/>
                <w:bCs/>
                <w:color w:val="auto"/>
                <w:sz w:val="24"/>
                <w:highlight w:val="none"/>
              </w:rPr>
              <w:t>其他成本费用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产品支付</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产品费用详情请见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九、产品的费用</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净值及投资报告披露</w:t>
            </w:r>
          </w:p>
        </w:tc>
        <w:tc>
          <w:tcPr>
            <w:tcW w:w="6633" w:type="dxa"/>
            <w:vAlign w:val="center"/>
          </w:tcPr>
          <w:p>
            <w:pPr>
              <w:pStyle w:val="2"/>
              <w:numPr>
                <w:ilvl w:val="0"/>
                <w:numId w:val="0"/>
              </w:numPr>
              <w:ind w:left="0" w:leftChars="0" w:firstLine="0"/>
              <w:rPr>
                <w:color w:val="auto"/>
                <w:highlight w:val="none"/>
              </w:rPr>
            </w:pPr>
            <w:r>
              <w:rPr>
                <w:rFonts w:hint="eastAsia"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每个</w:t>
            </w:r>
            <w:r>
              <w:rPr>
                <w:rFonts w:hint="eastAsia" w:ascii="楷体_GB2312" w:hAnsi="宋体" w:eastAsia="楷体_GB2312"/>
                <w:color w:val="auto"/>
                <w:sz w:val="24"/>
                <w:highlight w:val="none"/>
              </w:rPr>
              <w:t>开放日</w:t>
            </w:r>
            <w:r>
              <w:rPr>
                <w:rFonts w:hint="eastAsia" w:ascii="楷体_GB2312" w:hAnsi="宋体" w:eastAsia="楷体_GB2312"/>
                <w:color w:val="auto"/>
                <w:sz w:val="24"/>
                <w:highlight w:val="none"/>
                <w:lang w:val="en-US" w:eastAsia="zh-CN"/>
              </w:rPr>
              <w:t>结束</w:t>
            </w:r>
            <w:r>
              <w:rPr>
                <w:rFonts w:hint="eastAsia" w:ascii="楷体_GB2312" w:hAnsi="宋体" w:eastAsia="楷体_GB2312"/>
                <w:color w:val="auto"/>
                <w:sz w:val="24"/>
                <w:highlight w:val="none"/>
              </w:rPr>
              <w:t>后2个工作日内披露开放日的产品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净值和产品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w:t>
            </w:r>
            <w:r>
              <w:rPr>
                <w:rFonts w:hint="eastAsia" w:ascii="楷体_GB2312" w:hAnsi="宋体" w:eastAsia="楷体_GB2312"/>
                <w:color w:val="auto"/>
                <w:sz w:val="24"/>
                <w:highlight w:val="none"/>
                <w:lang w:val="en-US" w:eastAsia="zh-CN"/>
              </w:rPr>
              <w:t>申购价格、赎回价格；</w:t>
            </w:r>
            <w:r>
              <w:rPr>
                <w:rFonts w:hint="eastAsia" w:ascii="楷体_GB2312" w:hAnsi="宋体" w:eastAsia="楷体_GB2312"/>
                <w:color w:val="auto"/>
                <w:sz w:val="24"/>
                <w:highlight w:val="none"/>
              </w:rPr>
              <w:t>在定期报告中披露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理财产品在季度、半年和年度最后一个市场交易日的</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累计净值和</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资产净值。</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2.每个季度结束之日起15个工作日内、上半年结束之日起60</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个工作日内、每年结束之日起90个工作日内</w:t>
            </w:r>
            <w:r>
              <w:rPr>
                <w:rFonts w:ascii="楷体_GB2312" w:hAnsi="宋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编制完成</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的季度、半年和年度报告等定期报告，并通过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向投资者披露。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理财产品成立不足90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日或者剩余存续期不超过90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日的，</w:t>
            </w:r>
            <w:r>
              <w:rPr>
                <w:rFonts w:hint="eastAsia" w:ascii="楷体_GB2312" w:hAnsi="宋体" w:eastAsia="楷体_GB2312"/>
                <w:color w:val="auto"/>
                <w:sz w:val="24"/>
                <w:highlight w:val="none"/>
                <w:lang w:val="en-US" w:eastAsia="zh-CN"/>
              </w:rPr>
              <w:t>产品管理人</w:t>
            </w:r>
            <w:r>
              <w:rPr>
                <w:rFonts w:hint="eastAsia" w:ascii="楷体_GB2312" w:hAnsi="宋体" w:eastAsia="楷体_GB2312"/>
                <w:color w:val="auto"/>
                <w:sz w:val="24"/>
                <w:highlight w:val="none"/>
              </w:rPr>
              <w:t>可以不编制</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理财产品当期的季度、半年和年度报告。</w:t>
            </w:r>
          </w:p>
          <w:p>
            <w:pPr>
              <w:numPr>
                <w:ilvl w:val="0"/>
                <w:numId w:val="0"/>
              </w:numPr>
              <w:ind w:firstLine="0" w:firstLineChars="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3.</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保留对</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信息披露频率变更的权利。</w:t>
            </w:r>
          </w:p>
          <w:p>
            <w:pPr>
              <w:rPr>
                <w:rFonts w:ascii="楷体_GB2312" w:hAnsi="宋体" w:eastAsia="楷体_GB2312"/>
                <w:color w:val="000000"/>
                <w:sz w:val="24"/>
              </w:rPr>
            </w:pPr>
            <w:r>
              <w:rPr>
                <w:rFonts w:hint="eastAsia" w:ascii="楷体_GB2312" w:hAnsi="宋体" w:eastAsia="楷体_GB2312"/>
                <w:b/>
                <w:bCs/>
                <w:color w:val="auto"/>
                <w:sz w:val="24"/>
                <w:highlight w:val="none"/>
              </w:rPr>
              <w:t>★净值及投资报告披露</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十一、产品的信息披露</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税款</w:t>
            </w:r>
          </w:p>
        </w:tc>
        <w:tc>
          <w:tcPr>
            <w:tcW w:w="6633" w:type="dxa"/>
            <w:vAlign w:val="center"/>
          </w:tcPr>
          <w:p>
            <w:pPr>
              <w:rPr>
                <w:rFonts w:ascii="楷体_GB2312" w:hAnsi="宋体" w:eastAsia="楷体_GB2312"/>
                <w:color w:val="000000"/>
                <w:sz w:val="24"/>
              </w:rPr>
            </w:pPr>
            <w:r>
              <w:rPr>
                <w:rFonts w:hint="eastAsia" w:ascii="楷体_GB2312" w:hAnsi="宋体" w:eastAsia="楷体_GB2312"/>
                <w:color w:val="auto"/>
                <w:sz w:val="24"/>
                <w:highlight w:val="none"/>
              </w:rPr>
              <w:t>相关税收法律法规规定，</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运营过程中产生的税费，由</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理财产品承担。投资者从</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理财产品取得的收益应纳税款由投资者自行申报及缴纳，</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不承担相关代扣代缴或纳税义务。</w:t>
            </w:r>
          </w:p>
        </w:tc>
      </w:tr>
    </w:tbl>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四、产品的投资运作</w:t>
      </w:r>
    </w:p>
    <w:p>
      <w:pPr>
        <w:ind w:firstLine="480" w:firstLineChars="200"/>
        <w:rPr>
          <w:rFonts w:ascii="楷体_GB2312" w:hAnsi="宋体" w:eastAsia="楷体_GB2312"/>
          <w:color w:val="000000"/>
          <w:sz w:val="24"/>
        </w:rPr>
      </w:pPr>
      <w:r>
        <w:rPr>
          <w:rFonts w:ascii="楷体_GB2312" w:hAnsi="宋体" w:eastAsia="楷体_GB2312"/>
          <w:color w:val="000000"/>
          <w:sz w:val="24"/>
        </w:rPr>
        <w:t>（一）投资范围</w:t>
      </w:r>
    </w:p>
    <w:p>
      <w:pPr>
        <w:adjustRightInd/>
        <w:snapToGrid/>
        <w:ind w:firstLine="480" w:firstLineChars="200"/>
        <w:rPr>
          <w:rFonts w:hint="eastAsia" w:ascii="楷体_GB2312" w:hAnsi="宋体" w:eastAsia="楷体_GB2312"/>
          <w:color w:val="000000"/>
          <w:sz w:val="24"/>
          <w:szCs w:val="24"/>
          <w:highlight w:val="none"/>
        </w:rPr>
      </w:pPr>
      <w:r>
        <w:rPr>
          <w:rFonts w:hint="eastAsia" w:ascii="楷体_GB2312" w:hAnsi="宋体" w:eastAsia="楷体_GB2312" w:cs="Times New Roman"/>
          <w:color w:val="000000"/>
          <w:sz w:val="24"/>
          <w:szCs w:val="24"/>
          <w:highlight w:val="none"/>
        </w:rPr>
        <w:t>本</w:t>
      </w:r>
      <w:r>
        <w:rPr>
          <w:rFonts w:hint="eastAsia" w:ascii="楷体_GB2312" w:hAnsi="宋体" w:eastAsia="楷体_GB2312" w:cs="Times New Roman"/>
          <w:color w:val="000000"/>
          <w:sz w:val="24"/>
          <w:szCs w:val="24"/>
          <w:highlight w:val="none"/>
          <w:lang w:val="en-US" w:eastAsia="zh-CN"/>
        </w:rPr>
        <w:t>理财</w:t>
      </w:r>
      <w:r>
        <w:rPr>
          <w:rFonts w:hint="eastAsia" w:ascii="楷体_GB2312" w:hAnsi="宋体" w:eastAsia="楷体_GB2312" w:cs="Times New Roman"/>
          <w:color w:val="000000"/>
          <w:sz w:val="24"/>
          <w:szCs w:val="24"/>
          <w:highlight w:val="none"/>
        </w:rPr>
        <w:t>产品</w:t>
      </w:r>
      <w:r>
        <w:rPr>
          <w:rFonts w:hint="eastAsia" w:ascii="楷体_GB2312" w:hAnsi="宋体" w:eastAsia="楷体_GB2312" w:cs="Times New Roman"/>
          <w:color w:val="000000"/>
          <w:sz w:val="24"/>
          <w:szCs w:val="24"/>
          <w:highlight w:val="none"/>
          <w:lang w:val="en-US" w:eastAsia="zh-CN"/>
        </w:rPr>
        <w:t>可</w:t>
      </w:r>
      <w:r>
        <w:rPr>
          <w:rFonts w:hint="eastAsia" w:ascii="楷体_GB2312" w:hAnsi="宋体" w:eastAsia="楷体_GB2312" w:cs="Times New Roman"/>
          <w:color w:val="000000"/>
          <w:sz w:val="24"/>
          <w:szCs w:val="24"/>
          <w:highlight w:val="none"/>
        </w:rPr>
        <w:t>投资于境内外市场发行的固定收益类</w:t>
      </w:r>
      <w:r>
        <w:rPr>
          <w:rFonts w:hint="eastAsia" w:ascii="楷体_GB2312" w:hAnsi="宋体" w:eastAsia="楷体_GB2312" w:cs="Times New Roman"/>
          <w:color w:val="000000"/>
          <w:sz w:val="24"/>
          <w:szCs w:val="24"/>
          <w:highlight w:val="none"/>
          <w:lang w:val="en-US" w:eastAsia="zh-CN"/>
        </w:rPr>
        <w:t>资产</w:t>
      </w:r>
      <w:r>
        <w:rPr>
          <w:rFonts w:hint="eastAsia" w:ascii="楷体_GB2312" w:hAnsi="宋体" w:eastAsia="楷体_GB2312" w:cs="Times New Roman"/>
          <w:color w:val="000000"/>
          <w:sz w:val="24"/>
          <w:szCs w:val="24"/>
          <w:highlight w:val="none"/>
        </w:rPr>
        <w:t>、权益类</w:t>
      </w:r>
      <w:r>
        <w:rPr>
          <w:rFonts w:hint="eastAsia" w:ascii="楷体_GB2312" w:hAnsi="宋体" w:eastAsia="楷体_GB2312" w:cs="Times New Roman"/>
          <w:color w:val="000000"/>
          <w:sz w:val="24"/>
          <w:szCs w:val="24"/>
          <w:highlight w:val="none"/>
          <w:lang w:val="en-US" w:eastAsia="zh-CN"/>
        </w:rPr>
        <w:t>资产和</w:t>
      </w:r>
      <w:r>
        <w:rPr>
          <w:rFonts w:hint="eastAsia" w:ascii="楷体_GB2312" w:hAnsi="宋体" w:eastAsia="楷体_GB2312" w:cs="Times New Roman"/>
          <w:color w:val="000000"/>
          <w:sz w:val="24"/>
          <w:szCs w:val="24"/>
          <w:highlight w:val="none"/>
        </w:rPr>
        <w:t>商品及金融衍生品类资产</w:t>
      </w:r>
      <w:r>
        <w:rPr>
          <w:rFonts w:hint="eastAsia" w:ascii="楷体_GB2312" w:hAnsi="宋体" w:eastAsia="楷体_GB2312" w:cs="Times New Roman"/>
          <w:color w:val="000000"/>
          <w:sz w:val="24"/>
          <w:szCs w:val="24"/>
          <w:highlight w:val="none"/>
          <w:lang w:val="en-US" w:eastAsia="zh-CN"/>
        </w:rPr>
        <w:t>等</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具体包括</w:t>
      </w:r>
      <w:r>
        <w:rPr>
          <w:rFonts w:hint="eastAsia" w:ascii="楷体_GB2312" w:hAnsi="宋体" w:eastAsia="楷体_GB2312"/>
          <w:color w:val="000000"/>
          <w:sz w:val="24"/>
          <w:szCs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rPr>
        <w:t>固定收益类资产，包括但不限于银行存款、同业存款、大额存单、资金拆借、债券回购等货币市场工具；国债、政策性金融债、金融债、地方政府债、政府支持机构债券、短期融资券、超短期融资券、中期票据（包括永续中票）、企业债、公司债（包含可续期公司债）、同业存单、非公开定向债务融资工具、资产支持证券、次级债（包括二级资本债）</w:t>
      </w:r>
      <w:r>
        <w:rPr>
          <w:rFonts w:hint="eastAsia" w:ascii="楷体_GB2312" w:hAnsi="宋体" w:eastAsia="楷体_GB2312" w:cs="Times New Roman"/>
          <w:bCs w:val="0"/>
          <w:color w:val="000000"/>
          <w:sz w:val="24"/>
          <w:szCs w:val="24"/>
          <w:highlight w:val="none"/>
          <w:lang w:val="en-US" w:eastAsia="zh-CN"/>
        </w:rPr>
        <w:t>等银行间市场、</w:t>
      </w:r>
      <w:r>
        <w:rPr>
          <w:rFonts w:hint="eastAsia" w:ascii="楷体_GB2312" w:hAnsi="宋体" w:eastAsia="楷体_GB2312" w:cs="Times New Roman"/>
          <w:bCs w:val="0"/>
          <w:color w:val="000000"/>
          <w:sz w:val="24"/>
          <w:szCs w:val="24"/>
          <w:highlight w:val="none"/>
        </w:rPr>
        <w:t>证券交易所市场及经国务院同意设立的其他交易市场的债券及债务融资工具</w:t>
      </w:r>
      <w:r>
        <w:rPr>
          <w:rFonts w:hint="eastAsia" w:ascii="楷体_GB2312" w:hAnsi="宋体" w:eastAsia="楷体_GB2312" w:cs="Times New Roman"/>
          <w:color w:val="000000"/>
          <w:sz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lang w:val="en-US" w:eastAsia="zh-CN"/>
        </w:rPr>
        <w:t>权益</w:t>
      </w:r>
      <w:r>
        <w:rPr>
          <w:rFonts w:hint="eastAsia" w:ascii="楷体_GB2312" w:hAnsi="宋体" w:eastAsia="楷体_GB2312" w:cs="Times New Roman"/>
          <w:bCs w:val="0"/>
          <w:color w:val="000000"/>
          <w:sz w:val="24"/>
          <w:szCs w:val="24"/>
          <w:highlight w:val="none"/>
        </w:rPr>
        <w:t>类资产，</w:t>
      </w:r>
      <w:r>
        <w:rPr>
          <w:rFonts w:hint="eastAsia" w:ascii="楷体_GB2312" w:hAnsi="宋体" w:eastAsia="楷体_GB2312" w:cs="Times New Roman"/>
          <w:bCs w:val="0"/>
          <w:color w:val="000000"/>
          <w:sz w:val="24"/>
          <w:szCs w:val="24"/>
          <w:highlight w:val="none"/>
          <w:lang w:val="en-US" w:eastAsia="zh-CN"/>
        </w:rPr>
        <w:t>仅限于境内外发行的优先股</w:t>
      </w:r>
      <w:r>
        <w:rPr>
          <w:rFonts w:hint="eastAsia" w:ascii="楷体_GB2312" w:hAnsi="宋体" w:eastAsia="楷体_GB2312" w:cs="Times New Roman"/>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商品及金融衍生品类资产，包括但不限于期货、期权、远期、互换、风险缓释工具等</w:t>
      </w:r>
      <w:r>
        <w:rPr>
          <w:rFonts w:hint="eastAsia" w:ascii="楷体_GB2312" w:hAnsi="宋体" w:eastAsia="楷体_GB2312"/>
          <w:color w:val="000000"/>
          <w:sz w:val="24"/>
          <w:szCs w:val="24"/>
          <w:highlight w:val="none"/>
        </w:rPr>
        <w:t>。</w:t>
      </w:r>
    </w:p>
    <w:p>
      <w:pPr>
        <w:adjustRightInd/>
        <w:snapToGrid/>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产品可投资于以上述资产为投资对象的公募证券投资基金及其他资产管理产品。</w:t>
      </w:r>
    </w:p>
    <w:p>
      <w:p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北银理财作为本理财产品的产品管理人，负责在投资范围内对本理财产品的投资进行动态配置，保留对投资目标变更的权利，若发生变更将及时进行信息披露。</w:t>
      </w:r>
    </w:p>
    <w:p>
      <w:pPr>
        <w:numPr>
          <w:ilvl w:val="-1"/>
          <w:numId w:val="0"/>
        </w:num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（二）投资比例</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1.</w:t>
      </w:r>
      <w:r>
        <w:rPr>
          <w:rFonts w:hint="eastAsia" w:ascii="楷体_GB2312" w:hAnsi="宋体" w:eastAsia="楷体_GB2312" w:cs="Times New Roman"/>
          <w:bCs w:val="0"/>
          <w:color w:val="000000"/>
          <w:sz w:val="24"/>
          <w:szCs w:val="24"/>
          <w:highlight w:val="none"/>
        </w:rPr>
        <w:t>直接或间接投资</w:t>
      </w:r>
      <w:r>
        <w:rPr>
          <w:rFonts w:hint="eastAsia" w:ascii="楷体_GB2312" w:hAnsi="宋体" w:eastAsia="楷体_GB2312" w:cs="Times New Roman"/>
          <w:bCs w:val="0"/>
          <w:color w:val="000000"/>
          <w:sz w:val="24"/>
          <w:szCs w:val="24"/>
          <w:highlight w:val="none"/>
          <w:lang w:val="en-US" w:eastAsia="zh-CN"/>
        </w:rPr>
        <w:t>于</w:t>
      </w:r>
      <w:r>
        <w:rPr>
          <w:rFonts w:hint="eastAsia" w:ascii="楷体_GB2312" w:hAnsi="宋体" w:eastAsia="楷体_GB2312" w:cs="Times New Roman"/>
          <w:bCs w:val="0"/>
          <w:color w:val="000000"/>
          <w:sz w:val="24"/>
          <w:szCs w:val="24"/>
          <w:highlight w:val="none"/>
        </w:rPr>
        <w:t>固定收益类资产的比例为</w:t>
      </w:r>
      <w:r>
        <w:rPr>
          <w:rFonts w:hint="eastAsia" w:ascii="楷体_GB2312" w:hAnsi="宋体" w:eastAsia="楷体_GB2312" w:cs="Times New Roman"/>
          <w:bCs w:val="0"/>
          <w:color w:val="000000"/>
          <w:sz w:val="24"/>
          <w:szCs w:val="24"/>
          <w:highlight w:val="none"/>
          <w:lang w:val="en-US" w:eastAsia="zh-CN"/>
        </w:rPr>
        <w:t>85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100</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2.</w:t>
      </w:r>
      <w:r>
        <w:rPr>
          <w:rFonts w:hint="eastAsia" w:ascii="楷体_GB2312" w:hAnsi="宋体" w:eastAsia="楷体_GB2312" w:cs="Times New Roman"/>
          <w:bCs w:val="0"/>
          <w:color w:val="000000"/>
          <w:sz w:val="24"/>
          <w:szCs w:val="24"/>
          <w:highlight w:val="none"/>
        </w:rPr>
        <w:t>直接或间接投资于权益类资产</w:t>
      </w:r>
      <w:r>
        <w:rPr>
          <w:rFonts w:hint="eastAsia" w:ascii="楷体_GB2312" w:hAnsi="宋体" w:eastAsia="楷体_GB2312" w:cs="Times New Roman"/>
          <w:bCs w:val="0"/>
          <w:color w:val="000000"/>
          <w:sz w:val="24"/>
          <w:szCs w:val="24"/>
          <w:highlight w:val="none"/>
          <w:lang w:val="en-US" w:eastAsia="zh-CN"/>
        </w:rPr>
        <w:t>的</w:t>
      </w:r>
      <w:r>
        <w:rPr>
          <w:rFonts w:hint="eastAsia" w:ascii="楷体_GB2312" w:hAnsi="宋体" w:eastAsia="楷体_GB2312" w:cs="Times New Roman"/>
          <w:bCs w:val="0"/>
          <w:color w:val="000000"/>
          <w:sz w:val="24"/>
          <w:szCs w:val="24"/>
          <w:highlight w:val="none"/>
        </w:rPr>
        <w:t>比例为</w:t>
      </w:r>
      <w:r>
        <w:rPr>
          <w:rFonts w:hint="eastAsia" w:ascii="楷体_GB2312" w:hAnsi="宋体" w:eastAsia="楷体_GB2312" w:cs="Times New Roman"/>
          <w:bCs w:val="0"/>
          <w:color w:val="000000"/>
          <w:sz w:val="24"/>
          <w:szCs w:val="24"/>
          <w:highlight w:val="none"/>
          <w:lang w:val="en-US" w:eastAsia="zh-CN"/>
        </w:rPr>
        <w:t>0</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sz w:val="24"/>
          <w:szCs w:val="24"/>
          <w:highlight w:val="none"/>
          <w:lang w:val="en-US" w:eastAsia="zh-CN"/>
        </w:rPr>
        <w:t>且仅能投资于境内外发行的优先股</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3.</w:t>
      </w:r>
      <w:r>
        <w:rPr>
          <w:rFonts w:hint="eastAsia" w:ascii="楷体_GB2312" w:hAnsi="宋体" w:eastAsia="楷体_GB2312" w:cs="Times New Roman"/>
          <w:color w:val="000000"/>
          <w:sz w:val="24"/>
          <w:szCs w:val="24"/>
          <w:highlight w:val="none"/>
        </w:rPr>
        <w:t>直接或间接投资</w:t>
      </w:r>
      <w:r>
        <w:rPr>
          <w:rFonts w:hint="eastAsia" w:ascii="楷体_GB2312" w:hAnsi="宋体" w:eastAsia="楷体_GB2312" w:cs="Times New Roman"/>
          <w:color w:val="000000"/>
          <w:sz w:val="24"/>
          <w:szCs w:val="24"/>
          <w:highlight w:val="none"/>
          <w:lang w:eastAsia="zh-CN"/>
        </w:rPr>
        <w:t>于</w:t>
      </w:r>
      <w:r>
        <w:rPr>
          <w:rFonts w:hint="eastAsia" w:ascii="楷体_GB2312" w:hAnsi="宋体" w:eastAsia="楷体_GB2312" w:cs="Times New Roman"/>
          <w:color w:val="000000"/>
          <w:sz w:val="24"/>
          <w:szCs w:val="24"/>
          <w:highlight w:val="none"/>
          <w:lang w:val="en-US" w:eastAsia="zh-CN"/>
        </w:rPr>
        <w:t>商品及</w:t>
      </w:r>
      <w:r>
        <w:rPr>
          <w:rFonts w:hint="eastAsia" w:ascii="楷体_GB2312" w:hAnsi="宋体" w:eastAsia="楷体_GB2312" w:cs="Times New Roman"/>
          <w:color w:val="000000"/>
          <w:sz w:val="24"/>
          <w:szCs w:val="24"/>
          <w:highlight w:val="none"/>
        </w:rPr>
        <w:t>金融衍生品类资产的比例为</w:t>
      </w:r>
      <w:r>
        <w:rPr>
          <w:rFonts w:hint="eastAsia" w:ascii="楷体_GB2312" w:hAnsi="宋体" w:eastAsia="楷体_GB2312" w:cs="Times New Roman"/>
          <w:color w:val="000000"/>
          <w:sz w:val="24"/>
          <w:szCs w:val="24"/>
          <w:highlight w:val="none"/>
          <w:lang w:val="en-US" w:eastAsia="zh-CN"/>
        </w:rPr>
        <w:t>0</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15</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w:t>
      </w:r>
      <w:r>
        <w:rPr>
          <w:rFonts w:hint="eastAsia" w:ascii="楷体_GB2312" w:hAnsi="宋体" w:eastAsia="楷体_GB2312" w:cs="Times New Roman"/>
          <w:color w:val="000000"/>
          <w:sz w:val="24"/>
          <w:szCs w:val="24"/>
          <w:highlight w:val="none"/>
          <w:lang w:val="en-US" w:eastAsia="zh-CN"/>
        </w:rPr>
        <w:t>且</w:t>
      </w:r>
      <w:r>
        <w:rPr>
          <w:rFonts w:hint="eastAsia" w:ascii="楷体_GB2312" w:hAnsi="宋体" w:eastAsia="楷体_GB2312" w:cs="Times New Roman"/>
          <w:color w:val="000000"/>
          <w:sz w:val="24"/>
          <w:szCs w:val="24"/>
          <w:highlight w:val="none"/>
        </w:rPr>
        <w:t>只能从事套期保值类衍生产品交易</w:t>
      </w:r>
      <w:r>
        <w:rPr>
          <w:rFonts w:hint="eastAsia" w:ascii="楷体_GB2312" w:hAnsi="宋体" w:eastAsia="楷体_GB2312" w:cs="Times New Roman"/>
          <w:color w:val="000000"/>
          <w:sz w:val="24"/>
          <w:szCs w:val="24"/>
          <w:highlight w:val="none"/>
          <w:lang w:eastAsia="zh-CN"/>
        </w:rPr>
        <w:t>。</w:t>
      </w:r>
    </w:p>
    <w:p>
      <w:pPr>
        <w:ind w:firstLine="480" w:firstLineChars="200"/>
        <w:rPr>
          <w:rFonts w:hint="eastAsia" w:ascii="楷体_GB2312" w:hAnsi="宋体" w:eastAsia="楷体_GB2312"/>
          <w:color w:val="000000"/>
          <w:sz w:val="24"/>
        </w:rPr>
      </w:pPr>
      <w:r>
        <w:rPr>
          <w:rFonts w:hint="eastAsia" w:ascii="楷体_GB2312" w:hAnsi="楷体" w:eastAsia="楷体_GB2312"/>
          <w:sz w:val="24"/>
        </w:rPr>
        <w:t>★</w:t>
      </w:r>
      <w:r>
        <w:rPr>
          <w:rFonts w:hint="eastAsia" w:ascii="楷体_GB2312" w:hAnsi="宋体" w:eastAsia="楷体_GB2312"/>
          <w:color w:val="000000"/>
          <w:sz w:val="24"/>
        </w:rPr>
        <w:t>特别提示：</w:t>
      </w:r>
    </w:p>
    <w:p>
      <w:pPr>
        <w:numPr>
          <w:ilvl w:val="-1"/>
          <w:numId w:val="0"/>
        </w:numPr>
        <w:ind w:firstLine="480" w:firstLineChars="200"/>
        <w:rPr>
          <w:rFonts w:hint="eastAsia" w:ascii="楷体_GB2312" w:hAnsi="楷体" w:eastAsia="楷体_GB2312" w:cs="Times New Roman"/>
          <w:sz w:val="24"/>
        </w:rPr>
      </w:pPr>
      <w:r>
        <w:rPr>
          <w:rFonts w:hint="eastAsia" w:ascii="楷体_GB2312" w:hAnsi="宋体" w:eastAsia="楷体_GB2312"/>
          <w:color w:val="000000"/>
          <w:sz w:val="24"/>
          <w:lang w:val="en-US" w:eastAsia="zh-CN"/>
        </w:rPr>
        <w:t>1.</w:t>
      </w:r>
      <w:r>
        <w:rPr>
          <w:rFonts w:hint="eastAsia" w:ascii="楷体_GB2312" w:hAnsi="楷体" w:eastAsia="楷体_GB2312" w:cs="Times New Roman"/>
          <w:sz w:val="24"/>
        </w:rPr>
        <w:t>非因产品管理人原因导致本理财产品销售文件项下理财产品投资突破前述投资比例限制的，产品管理人将在所投资的流动性受限资产可出售、可转让或者恢复交易之日起15个交易日内调整至上述投资比例内；</w:t>
      </w:r>
    </w:p>
    <w:p>
      <w:pPr>
        <w:numPr>
          <w:ilvl w:val="-1"/>
          <w:numId w:val="0"/>
        </w:numPr>
        <w:ind w:firstLine="480" w:firstLineChars="200"/>
        <w:rPr>
          <w:rFonts w:hint="eastAsia" w:ascii="楷体_GB2312" w:hAnsi="楷体" w:eastAsia="楷体_GB2312"/>
          <w:sz w:val="24"/>
        </w:rPr>
      </w:pPr>
      <w:r>
        <w:rPr>
          <w:rFonts w:hint="eastAsia" w:ascii="楷体_GB2312" w:hAnsi="楷体" w:eastAsia="楷体_GB2312" w:cs="Times New Roman"/>
          <w:sz w:val="24"/>
          <w:lang w:val="en-US" w:eastAsia="zh-CN"/>
        </w:rPr>
        <w:t>2.</w:t>
      </w:r>
      <w:r>
        <w:rPr>
          <w:rFonts w:hint="eastAsia" w:ascii="楷体_GB2312" w:hAnsi="楷体" w:eastAsia="楷体_GB2312" w:cs="Times New Roman"/>
          <w:sz w:val="24"/>
        </w:rPr>
        <w:t>在本理财产品存续期内，金融市场发生重大变化导致前述投资比例暂时超出浮动区间且可能对本理财产品收益产生重大影响的，产品管理人将根据本理财产品销售文件约定向投资者进行信息披露；</w:t>
      </w:r>
    </w:p>
    <w:p>
      <w:pPr>
        <w:numPr>
          <w:ilvl w:val="-1"/>
          <w:numId w:val="0"/>
        </w:numPr>
        <w:ind w:firstLine="480" w:firstLineChars="200"/>
        <w:rPr>
          <w:rFonts w:ascii="楷体_GB2312" w:hAnsi="宋体" w:eastAsia="楷体_GB2312"/>
          <w:color w:val="000000"/>
          <w:sz w:val="24"/>
        </w:rPr>
      </w:pPr>
      <w:r>
        <w:rPr>
          <w:rFonts w:hint="eastAsia" w:ascii="楷体_GB2312" w:hAnsi="楷体" w:eastAsia="楷体_GB2312" w:cs="Times New Roman"/>
          <w:sz w:val="24"/>
          <w:lang w:val="en-US" w:eastAsia="zh-CN"/>
        </w:rPr>
        <w:t>3.</w:t>
      </w:r>
      <w:r>
        <w:rPr>
          <w:rFonts w:hint="eastAsia" w:ascii="楷体_GB2312" w:hAnsi="楷体" w:eastAsia="楷体_GB2312" w:cs="Times New Roman"/>
          <w:sz w:val="24"/>
        </w:rPr>
        <w:t>本理财产品将会在产品成立日之后的</w:t>
      </w:r>
      <w:r>
        <w:rPr>
          <w:rFonts w:hint="eastAsia" w:ascii="楷体_GB2312" w:hAnsi="楷体" w:eastAsia="楷体_GB2312" w:cs="Times New Roman"/>
          <w:sz w:val="24"/>
          <w:lang w:val="en-US" w:eastAsia="zh-CN"/>
        </w:rPr>
        <w:t>5个交易日内使资产配置比例符合上述规定</w:t>
      </w:r>
      <w:r>
        <w:rPr>
          <w:rFonts w:hint="eastAsia" w:ascii="楷体_GB2312" w:hAnsi="楷体" w:eastAsia="楷体_GB2312" w:cs="Times New Roman"/>
          <w:sz w:val="24"/>
        </w:rPr>
        <w:t>。</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三</w:t>
      </w:r>
      <w:r>
        <w:rPr>
          <w:rFonts w:ascii="楷体_GB2312" w:hAnsi="宋体" w:eastAsia="楷体_GB2312"/>
          <w:color w:val="000000"/>
          <w:sz w:val="24"/>
        </w:rPr>
        <w:t>）投资策略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本理财产品在综合分析国家宏观经济形势、财政以及货币政策的基础上，采用“配置为主、交易增强”的投资策略，产品运作期间，视资金成本情况，适度采用杠杆策略，以获取超额收益。</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资产配置策略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从宏观环境、政策因素、资金供求因素、证券市场基本面等角度进行综合分析，判断各类资产的市场趋势和预期风险收益，在严格控制风险的前提下，确定投资组合在债券、基金、现金、衍生工具等资产类别的投资比例，并根据宏观经济形势和市场时机的变化适时进行动态调整。</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2.</w:t>
      </w:r>
      <w:r>
        <w:rPr>
          <w:rFonts w:hint="eastAsia" w:ascii="楷体_GB2312" w:hAnsi="宋体" w:eastAsia="楷体_GB2312" w:cs="Times New Roman"/>
          <w:color w:val="000000"/>
          <w:sz w:val="24"/>
        </w:rPr>
        <w:t>信用投资策略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根据</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管理人的内部信用评级标准，辅以外部信用评级，研究债权资产发行主体的信用状况，平衡风险与收益选择信用风险适当的主体和券种作为投资对象。</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久期配置策略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本理财产品将基于对市场利率变化趋势的预判，分析债券市场的反映，并据此对债券组合的久期进行调整，从而获取利率下行导致债券价格上升带来的收益，并缓解利率上行导致债券价格下降的风险。</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杠杆配置策略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管理人根据对未来资金成本预测，通过融入短期资金，适度运用杠杆策略增厚组合收益，从而获得杠杆放大收益；</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管理人将根据市场利率水平以及对利率期限结构的预期等，对杠杆比例适时进行调整，尽可能平滑投资组合的净值波动。</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5.衍生品对冲策略</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产品管理人根据对未来市场利率走势的判断，择机使用一定仓位的衍生品对冲，以期降低组合的久期暴露从而减少净值波动。</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（四）投资限制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1.本理财产品投资于单只证券或者单只公募证券投资基金的市值不得超过本理财产品净资产的10%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产品管理人发行的全部公募理财产品持有单只证券或单只公募证券投资基金的市值，不得超过该证券市值或该公募证券投资基金市值的30%。其中，产品管理人发行的全部开放式公募理财产品投资单一上市公司发行的股票不得超过该上市公司可流通股票的15%。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3.产品管理人发行的全部理财产品投资单一上市公司发行的股票，不得超过该上市公司可流通股票的30%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w:t>
      </w:r>
      <w:r>
        <w:rPr>
          <w:rFonts w:hint="eastAsia" w:ascii="楷体_GB2312" w:hAnsi="宋体" w:eastAsia="楷体_GB2312"/>
          <w:color w:val="000000"/>
          <w:sz w:val="24"/>
        </w:rPr>
        <w:t>的杠杆水平不得超过</w:t>
      </w:r>
      <w:r>
        <w:rPr>
          <w:rFonts w:hint="eastAsia" w:ascii="楷体_GB2312" w:hAnsi="宋体" w:eastAsia="楷体_GB2312" w:cs="Times New Roman"/>
          <w:color w:val="000000"/>
          <w:sz w:val="24"/>
        </w:rPr>
        <w:t>140%。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5.本理财产品持有</w:t>
      </w:r>
      <w:r>
        <w:rPr>
          <w:rFonts w:hint="eastAsia" w:ascii="楷体_GB2312" w:hAnsi="宋体" w:eastAsia="楷体_GB2312" w:cs="Times New Roman"/>
          <w:color w:val="000000"/>
          <w:sz w:val="24"/>
        </w:rPr>
        <w:t>现金或者到期日在一年以内的国债、中央银行票据和政策性金融债券</w:t>
      </w:r>
      <w:r>
        <w:rPr>
          <w:rFonts w:hint="eastAsia" w:ascii="楷体_GB2312" w:hAnsi="宋体" w:eastAsia="楷体_GB2312" w:cs="Times New Roman"/>
          <w:color w:val="000000"/>
          <w:sz w:val="24"/>
          <w:lang w:val="en-US" w:eastAsia="zh-CN"/>
        </w:rPr>
        <w:t>的比例不低于本</w:t>
      </w:r>
      <w:r>
        <w:rPr>
          <w:rFonts w:hint="eastAsia" w:ascii="楷体_GB2312" w:hAnsi="宋体" w:eastAsia="楷体_GB2312" w:cs="Times New Roman"/>
          <w:color w:val="000000"/>
          <w:sz w:val="24"/>
        </w:rPr>
        <w:t>理财产品资产净值</w:t>
      </w:r>
      <w:r>
        <w:rPr>
          <w:rFonts w:hint="eastAsia" w:ascii="楷体_GB2312" w:hAnsi="宋体" w:eastAsia="楷体_GB2312" w:cs="Times New Roman"/>
          <w:color w:val="000000"/>
          <w:sz w:val="24"/>
          <w:lang w:val="en-US" w:eastAsia="zh-CN"/>
        </w:rPr>
        <w:t>的</w:t>
      </w:r>
      <w:r>
        <w:rPr>
          <w:rFonts w:hint="eastAsia" w:ascii="楷体_GB2312" w:hAnsi="宋体" w:eastAsia="楷体_GB2312" w:cs="Times New Roman"/>
          <w:color w:val="000000"/>
          <w:sz w:val="24"/>
        </w:rPr>
        <w:t>5%</w:t>
      </w:r>
      <w:r>
        <w:rPr>
          <w:rFonts w:hint="eastAsia" w:ascii="楷体_GB2312" w:hAnsi="宋体" w:eastAsia="楷体_GB2312" w:cs="Times New Roman"/>
          <w:color w:val="000000"/>
          <w:sz w:val="24"/>
          <w:lang w:eastAsia="zh-CN"/>
        </w:rPr>
        <w:t>。</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6.本</w:t>
      </w:r>
      <w:r>
        <w:rPr>
          <w:rFonts w:hint="eastAsia" w:ascii="楷体_GB2312" w:hAnsi="宋体" w:eastAsia="楷体_GB2312" w:cs="Times New Roman"/>
          <w:color w:val="000000"/>
          <w:sz w:val="24"/>
        </w:rPr>
        <w:t>理财产品直接投资于流动性受限资产的市值在开放日不得超过</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理财产品资产净值的15%。</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7.</w:t>
      </w:r>
      <w:r>
        <w:rPr>
          <w:rFonts w:hint="eastAsia" w:ascii="楷体_GB2312" w:hAnsi="宋体" w:eastAsia="楷体_GB2312" w:cs="Times New Roman"/>
          <w:color w:val="000000"/>
          <w:sz w:val="24"/>
        </w:rPr>
        <w:t>在开放日前一工作日内，</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理财产品7个工作日可变现资产的可变现价值应当不低于</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理财产品资产净值的10%。</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8.本理财产品投资于</w:t>
      </w:r>
      <w:r>
        <w:rPr>
          <w:rFonts w:hint="eastAsia" w:ascii="楷体_GB2312" w:hAnsi="宋体" w:eastAsia="楷体_GB2312" w:cs="Times New Roman"/>
          <w:color w:val="000000"/>
          <w:sz w:val="24"/>
        </w:rPr>
        <w:t>不存在活跃交易市场并且需要采用估值技术确定公允价值的资产</w:t>
      </w:r>
      <w:r>
        <w:rPr>
          <w:rFonts w:hint="eastAsia" w:ascii="楷体_GB2312" w:hAnsi="宋体" w:eastAsia="楷体_GB2312" w:cs="Times New Roman"/>
          <w:color w:val="000000"/>
          <w:sz w:val="24"/>
          <w:lang w:val="en-US" w:eastAsia="zh-CN"/>
        </w:rPr>
        <w:t>的比例应低于本理财产品净资产的50%。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9.</w:t>
      </w:r>
      <w:bookmarkStart w:id="1" w:name="_Hlk146066476"/>
      <w:r>
        <w:rPr>
          <w:rFonts w:hint="eastAsia" w:ascii="楷体_GB2312" w:hAnsi="宋体" w:eastAsia="楷体_GB2312" w:cs="Times New Roman"/>
          <w:color w:val="000000"/>
          <w:sz w:val="24"/>
        </w:rPr>
        <w:t>法律法规及国家金融监督管理总局规定的其他投资限制。</w:t>
      </w:r>
      <w:bookmarkEnd w:id="1"/>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★特别提示：</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非因产品管理人主观因素导致本理财产品突破前述第1、2、3点比例限制的，本理财产品的产品管理人将在所投资的流动性受限资产可出售、可转让或者恢复交易之日起10个交易日内调整至符合上述投资限制。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2.因证券市场波动、上市公司股票停牌、理财产品规模变动等因素导致</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理财产品不符合第</w:t>
      </w:r>
      <w:r>
        <w:rPr>
          <w:rFonts w:hint="eastAsia" w:ascii="楷体_GB2312" w:hAnsi="宋体" w:eastAsia="楷体_GB2312" w:cs="Times New Roman"/>
          <w:color w:val="000000"/>
          <w:sz w:val="24"/>
          <w:lang w:val="en-US" w:eastAsia="zh-CN"/>
        </w:rPr>
        <w:t>6</w:t>
      </w:r>
      <w:r>
        <w:rPr>
          <w:rFonts w:hint="eastAsia" w:ascii="楷体_GB2312" w:hAnsi="宋体" w:eastAsia="楷体_GB2312" w:cs="Times New Roman"/>
          <w:color w:val="000000"/>
          <w:sz w:val="24"/>
        </w:rPr>
        <w:t>点比例限制的，产品管理人不得主动新增投资流动性受限资产。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非因产品管理人主观因素导致本理财产品突破前述第</w:t>
      </w:r>
      <w:r>
        <w:rPr>
          <w:rFonts w:hint="eastAsia" w:ascii="楷体_GB2312" w:hAnsi="宋体" w:eastAsia="楷体_GB2312" w:cs="Times New Roman"/>
          <w:color w:val="000000"/>
          <w:sz w:val="24"/>
          <w:lang w:val="en-US" w:eastAsia="zh-CN"/>
        </w:rPr>
        <w:t>8</w:t>
      </w:r>
      <w:r>
        <w:rPr>
          <w:rFonts w:hint="eastAsia" w:ascii="楷体_GB2312" w:hAnsi="宋体" w:eastAsia="楷体_GB2312" w:cs="Times New Roman"/>
          <w:color w:val="000000"/>
          <w:sz w:val="24"/>
        </w:rPr>
        <w:t>点比例限制的</w:t>
      </w:r>
      <w:r>
        <w:rPr>
          <w:rFonts w:hint="eastAsia" w:ascii="楷体_GB2312" w:hAnsi="宋体" w:eastAsia="楷体_GB2312" w:cs="Times New Roman"/>
          <w:color w:val="000000"/>
          <w:sz w:val="24"/>
          <w:lang w:eastAsia="zh-CN"/>
        </w:rPr>
        <w:t>，</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理财产品不得新增投资不存在活跃交易市场并且需要采用估值技术确定公允价值的资产。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本理财产品的上述投资限制将有可能随国家法律法规及监管政策的变化而产生变化，如发生变化，产品管理人将及时进行信息披露。</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（五）投资目标</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ascii="楷体_GB2312" w:hAnsi="宋体" w:eastAsia="楷体_GB2312"/>
          <w:color w:val="000000"/>
          <w:sz w:val="24"/>
        </w:rPr>
      </w:pPr>
      <w:r>
        <w:rPr>
          <w:rFonts w:ascii="楷体_GB2312" w:hAnsi="宋体" w:eastAsia="楷体_GB2312"/>
          <w:color w:val="000000"/>
          <w:sz w:val="24"/>
        </w:rPr>
        <w:t>以投资价值分析为基础，宏观与微观、定性与定量相结合，进行主动式管理，在追求理财投资资产稳定增值的基础上，为投资者获得较高的收益。</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楷体_GB2312" w:hAnsi="宋体" w:eastAsia="楷体_GB2312"/>
          <w:color w:val="000000"/>
          <w:sz w:val="24"/>
          <w:highlight w:val="none"/>
          <w:lang w:eastAsia="zh-CN"/>
        </w:rPr>
      </w:pPr>
      <w:r>
        <w:rPr>
          <w:rFonts w:hint="eastAsia" w:ascii="楷体_GB2312" w:eastAsia="楷体_GB2312"/>
          <w:color w:val="000000"/>
          <w:kern w:val="0"/>
          <w:sz w:val="24"/>
          <w:highlight w:val="none"/>
          <w:lang w:bidi="bn-IN"/>
        </w:rPr>
        <w:t>★</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lang w:eastAsia="zh-CN"/>
        </w:rPr>
        <w:t>）风险分析及风险控制措施</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本理财产品投资于</w:t>
      </w:r>
      <w:r>
        <w:rPr>
          <w:rFonts w:hint="eastAsia" w:ascii="楷体_GB2312" w:hAnsi="宋体" w:eastAsia="楷体_GB2312"/>
          <w:color w:val="000000"/>
          <w:sz w:val="24"/>
          <w:highlight w:val="none"/>
          <w:lang w:val="en-US" w:eastAsia="zh-CN"/>
        </w:rPr>
        <w:t>境内外市场发行的</w:t>
      </w:r>
      <w:r>
        <w:rPr>
          <w:rFonts w:hint="eastAsia" w:ascii="楷体_GB2312" w:hAnsi="宋体" w:eastAsia="楷体_GB2312"/>
          <w:color w:val="000000"/>
          <w:sz w:val="24"/>
          <w:highlight w:val="none"/>
          <w:lang w:eastAsia="zh-CN"/>
        </w:rPr>
        <w:t>固定收益类资产、</w:t>
      </w:r>
      <w:r>
        <w:rPr>
          <w:rFonts w:hint="eastAsia" w:ascii="楷体_GB2312" w:hAnsi="宋体" w:eastAsia="楷体_GB2312"/>
          <w:color w:val="000000"/>
          <w:sz w:val="24"/>
          <w:highlight w:val="none"/>
          <w:lang w:val="en-US" w:eastAsia="zh-CN"/>
        </w:rPr>
        <w:t>权益类资产</w:t>
      </w:r>
      <w:r>
        <w:rPr>
          <w:rFonts w:hint="eastAsia" w:ascii="楷体_GB2312" w:hAnsi="宋体" w:eastAsia="楷体_GB2312"/>
          <w:color w:val="000000"/>
          <w:sz w:val="24"/>
          <w:highlight w:val="none"/>
          <w:lang w:eastAsia="zh-CN"/>
        </w:rPr>
        <w:t>和商品及金融衍生品类资产，面临的主要风险为市场风险、流动性风险、信用风险、衍生风险和其他风险。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1.市场风险分析及市场风险控制措施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投资收益来源于本理财产品对应投资组合的运作和回报，因国家政策、经济周期、利率、汇率等因素可能发生变化，导致投资品种的市场价格发生波动，由此可能影响本理财产品的收益水平，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（1）本理财产品投资结构根据投资决策委员会的相关决策执行，定期召开资产配置会议，调整投资策略，调整债券组合久期，控制市场风险。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（2）运用定量风险模型，分析各投资组合市场风险的来源和暴露。利用敏感性分析，找出影响投资组合收益的关键因素。运用情景分析和压力测试技术，定期评估投资组合对于大幅和极端市场波动的承受能力。</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2.流动性风险分析及流动性风险控制措施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风险分析：流动性风险是指理财产品无法通过变现资产等途径以合理成本及时获得充足资金，用于满足该理财产品的投资者赎回需求、履行其他支付义务的风险。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（1）严格执行资管新规和流动性新规的要求，本理财产品的产品管理人将定期评估投资组合的流动性风险水平，使得流动性资产配置比例保持在适当水平下，综合匹配投资收益和产品期限设置。</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为防范和应对本理财产品发生流动性风险事件，产品管理人可启用下列措施：①设定单一投资者持有金额上限；②巨额赎回情形下产品管理人有权采取全额赎回、部分赎回等措施；③拒绝或暂停申购；④拒绝或暂停赎回；⑤延期办理赎回申请；⑥延缓支付赎回款项；⑦收取短期赎回费；⑧暂停理财产品估值；⑨国家金融监督管理总局规定的其他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3.信用风险分析及信用风险控制措施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债券、债权资产等金融产品涉及融资人的信用风险，若融资人发生信用风险事件，将导致相应金融产品的市场价值下跌或收益、到期本金等无法足额按时偿还，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（1）产品管理人建立投前、投中、投后信用风险管理体系，严格遵照“三道防线”相关要求开展信用债投后管理各项工作，通过下列措施严控信用风险：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①定期宏观基本面的跟踪分析：监控基本面关键指标、各行业基本面指标以及债券细分敞口溢价走势，研判个券信用风险，在此基础上形成产品债券投资备选库。</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②内部风险监测机制：通过风险预警以及资产配置系统进行舆情监控，定期对持仓资产进行整体回顾、检视，分析组合资产配置情况，对持仓个券开展持续债券信用风险追踪，排查负面舆情、价格异动等风险事件，降低信用风险暴露。</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（2）发生信用风险的债券通过折价卖出或破产清算回收部分本金。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4.衍生风险分析及衍生风险控制措施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风险分析：本理财产品所投资的衍生金融工具可能面临市场风险、基差风险、流动性风险、政策风险和交易对手不能履约等风险，在最不利的情况下，可能会损失投资该衍生品对应的部分甚至全部本金。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风险控制措施：持续跟踪并分析潜在的市场、流动性、交易对手等风险，设计相匹配的风险管理策略，合理控制衍生风险敞口。建立监测与报告机制，评估风险管理效果，持续优化投资策略。</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5.其他风险分析及风险控制措施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风险分析：本理财产品的其他风险主要包括操作风险、管理风险以及可能面临的一些特殊风险。</w:t>
      </w:r>
    </w:p>
    <w:p>
      <w:pPr>
        <w:pStyle w:val="2"/>
        <w:ind w:left="0" w:leftChars="0" w:firstLine="480" w:firstLineChars="200"/>
        <w:rPr>
          <w:rFonts w:ascii="楷体_GB2312" w:hAnsi="宋体" w:eastAsia="楷体_GB2312"/>
          <w:color w:val="000000"/>
          <w:sz w:val="24"/>
        </w:rPr>
      </w:pPr>
      <w:r>
        <w:rPr>
          <w:rFonts w:hint="eastAsia" w:ascii="楷体_GB2312" w:hAnsi="宋体" w:eastAsia="楷体_GB2312"/>
          <w:color w:val="000000"/>
          <w:sz w:val="24"/>
          <w:highlight w:val="none"/>
          <w:lang w:eastAsia="zh-CN"/>
        </w:rPr>
        <w:t>风险控制措施：对本理财产品面临的其他风险，由北银理财相关部门进行识别、测量、分析、监控、报告和管理工作，设定投资风险管理要求、风险策略、 风险管理指标、风险限额等，并追踪执行情况。</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和投资者之间根据本理财产品销售文件办理的投资金额与清算分配金额等款项收付。投资者同意，代销机构制作的该账户收款、付款记录是证明该账户项下款项收付的有效凭证。</w:t>
      </w:r>
    </w:p>
    <w:p>
      <w:pPr>
        <w:snapToGrid/>
        <w:ind w:firstLine="480" w:firstLineChars="200"/>
        <w:rPr>
          <w:rFonts w:hint="eastAsia" w:ascii="楷体_GB2312" w:hAnsi="宋体" w:eastAsia="楷体_GB2312"/>
          <w:color w:val="000000"/>
          <w:sz w:val="24"/>
          <w:lang w:val="en-US"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认购金额要求：投资者购买本理财产品</w:t>
      </w:r>
      <w:r>
        <w:rPr>
          <w:rFonts w:hint="eastAsia" w:ascii="楷体_GB2312" w:hAnsi="宋体" w:eastAsia="楷体_GB2312"/>
          <w:color w:val="auto"/>
          <w:sz w:val="24"/>
          <w:highlight w:val="none"/>
          <w:lang w:val="en-US" w:eastAsia="zh-CN"/>
        </w:rPr>
        <w:t>A</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1</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eastAsia="楷体_GB2312"/>
          <w:bCs/>
          <w:color w:val="000000"/>
          <w:sz w:val="24"/>
          <w:lang w:eastAsia="zh-CN"/>
        </w:rPr>
        <w:t>；</w:t>
      </w:r>
      <w:r>
        <w:rPr>
          <w:rFonts w:hint="eastAsia" w:ascii="楷体_GB2312" w:hAnsi="宋体" w:eastAsia="楷体_GB2312"/>
          <w:color w:val="auto"/>
          <w:sz w:val="24"/>
          <w:highlight w:val="none"/>
          <w:lang w:val="en-US" w:eastAsia="zh-CN"/>
        </w:rPr>
        <w:t>B</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300，000.00</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浙B</w:t>
      </w:r>
      <w:r>
        <w:rPr>
          <w:rFonts w:hint="eastAsia" w:ascii="楷体_GB2312" w:hAnsi="宋体" w:eastAsia="楷体_GB2312"/>
          <w:color w:val="auto"/>
          <w:sz w:val="24"/>
          <w:highlight w:val="none"/>
          <w:lang w:val="en-US" w:eastAsia="zh-CN"/>
        </w:rPr>
        <w:t>A</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1</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eastAsia"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前撤销认购交易，撤销后的资金原则上将于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产品成立日起的</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六、产品的申购和赎回</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（一）申购/赎回规则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1.本理财产品采用金额申购、份额赎回的原则，即申购以金额申请，赎回以份</w:t>
      </w:r>
      <w:r>
        <w:rPr>
          <w:rFonts w:hint="eastAsia" w:ascii="楷体_GB2312" w:hAnsi="宋体" w:eastAsia="楷体_GB2312"/>
          <w:color w:val="000000"/>
          <w:sz w:val="24"/>
          <w:highlight w:val="none"/>
        </w:rPr>
        <w:t>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b w:val="0"/>
          <w:bCs w:val="0"/>
          <w:color w:val="000000"/>
          <w:sz w:val="24"/>
          <w:highlight w:val="none"/>
        </w:rPr>
        <w:t>投资者可在本理财产品开放日内提出</w:t>
      </w:r>
      <w:r>
        <w:rPr>
          <w:rFonts w:hint="eastAsia" w:ascii="楷体_GB2312" w:hAnsi="宋体" w:eastAsia="楷体_GB2312"/>
          <w:b w:val="0"/>
          <w:bCs w:val="0"/>
          <w:color w:val="000000"/>
          <w:sz w:val="24"/>
          <w:highlight w:val="none"/>
          <w:lang w:val="en-US" w:eastAsia="zh-CN"/>
        </w:rPr>
        <w:t>申购</w:t>
      </w:r>
      <w:r>
        <w:rPr>
          <w:rFonts w:hint="eastAsia" w:ascii="楷体_GB2312" w:hAnsi="宋体" w:eastAsia="楷体_GB2312"/>
          <w:b w:val="0"/>
          <w:bCs w:val="0"/>
          <w:color w:val="000000"/>
          <w:sz w:val="24"/>
          <w:highlight w:val="none"/>
        </w:rPr>
        <w:t>申请</w:t>
      </w:r>
      <w:r>
        <w:rPr>
          <w:rFonts w:hint="eastAsia" w:ascii="楷体_GB2312" w:hAnsi="宋体" w:eastAsia="楷体_GB2312"/>
          <w:b w:val="0"/>
          <w:bCs w:val="0"/>
          <w:color w:val="000000"/>
          <w:sz w:val="24"/>
          <w:highlight w:val="none"/>
          <w:lang w:eastAsia="zh-CN"/>
        </w:rPr>
        <w:t>；</w:t>
      </w:r>
      <w:r>
        <w:rPr>
          <w:rFonts w:hint="eastAsia" w:ascii="楷体_GB2312" w:hAnsi="宋体" w:eastAsia="楷体_GB2312"/>
          <w:b w:val="0"/>
          <w:bCs w:val="0"/>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w:t>
      </w:r>
      <w:r>
        <w:rPr>
          <w:rFonts w:hint="eastAsia" w:ascii="楷体_GB2312" w:hAnsi="宋体" w:eastAsia="楷体_GB2312"/>
          <w:b w:val="0"/>
          <w:bCs w:val="0"/>
          <w:color w:val="000000"/>
          <w:sz w:val="24"/>
          <w:highlight w:val="none"/>
        </w:rPr>
        <w:t>产品管理人公告暂停开放的日期除外。</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rPr>
        <w:t>开放日内提出的申购/赎回申请，在开放日17：00之前可以撤销，具体是否可撤销以代销机构提示为准。撤销后的申购资金将于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rPr>
        <w:t>个工作日内到账，具体到账时间以代销机构提示为准。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投资者在开放日内提出的申购/赎回申请，在开放日17：00之后不能撤销。</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3.投资者申购、赎回本理财产品时，采用“未知价原则”，即本理财产品申购申请和赎回申请提交时，适用的产品单位净值都是未知的。</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（二）申购/赎回的数额限制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rPr>
        <w:t>1.申购金额要求：</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A</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300,000.00</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浙BA</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2.赎回份额要求：</w:t>
      </w:r>
      <w:r>
        <w:rPr>
          <w:rFonts w:hint="eastAsia" w:ascii="楷体_GB2312" w:hAnsi="宋体" w:eastAsia="楷体_GB2312"/>
          <w:color w:val="000000"/>
          <w:sz w:val="24"/>
          <w:highlight w:val="none"/>
        </w:rPr>
        <w:t>投资者可以选择全部赎回或部分赎回本理财产品，本理财产品</w:t>
      </w:r>
      <w:r>
        <w:rPr>
          <w:rFonts w:hint="eastAsia" w:ascii="楷体_GB2312" w:hAnsi="宋体" w:eastAsia="楷体_GB2312"/>
          <w:color w:val="000000"/>
          <w:sz w:val="24"/>
          <w:highlight w:val="none"/>
          <w:lang w:val="en-US" w:eastAsia="zh-CN"/>
        </w:rPr>
        <w:t>A</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浙BA</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份。若投资者申请部分赎回后，其持有的剩余产品份额少于</w:t>
      </w:r>
      <w:r>
        <w:rPr>
          <w:rFonts w:hint="eastAsia" w:ascii="楷体_GB2312" w:hAnsi="宋体" w:eastAsia="楷体_GB2312"/>
          <w:color w:val="000000"/>
          <w:sz w:val="24"/>
          <w:highlight w:val="none"/>
          <w:lang w:val="en-US" w:eastAsia="zh-CN"/>
        </w:rPr>
        <w:t>最低持有</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额</w:t>
      </w:r>
      <w:r>
        <w:rPr>
          <w:rFonts w:hint="eastAsia" w:ascii="楷体_GB2312" w:hAnsi="宋体" w:eastAsia="楷体_GB2312"/>
          <w:color w:val="000000"/>
          <w:sz w:val="24"/>
          <w:highlight w:val="none"/>
        </w:rPr>
        <w:t>，投资者应申请全额赎回</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理财产品，否则该部分赎回申请将不被受理。</w:t>
      </w:r>
    </w:p>
    <w:p>
      <w:pPr>
        <w:ind w:firstLine="480" w:firstLineChars="200"/>
        <w:rPr>
          <w:rFonts w:ascii="楷体_GB2312" w:hAnsi="仿宋" w:eastAsia="楷体_GB2312"/>
          <w:color w:val="000000"/>
          <w:sz w:val="24"/>
          <w:highlight w:val="none"/>
        </w:rPr>
      </w:pPr>
      <w:r>
        <w:rPr>
          <w:rFonts w:ascii="楷体_GB2312" w:hAnsi="宋体" w:eastAsia="楷体_GB2312"/>
          <w:color w:val="000000"/>
          <w:sz w:val="24"/>
          <w:highlight w:val="none"/>
        </w:rPr>
        <w:t>3</w:t>
      </w:r>
      <w:r>
        <w:rPr>
          <w:rFonts w:hint="eastAsia" w:ascii="楷体_GB2312" w:hAnsi="宋体" w:eastAsia="楷体_GB2312"/>
          <w:color w:val="000000"/>
          <w:sz w:val="24"/>
          <w:highlight w:val="none"/>
        </w:rPr>
        <w:t>.对于可能</w:t>
      </w:r>
      <w:r>
        <w:rPr>
          <w:rFonts w:hint="eastAsia" w:ascii="楷体_GB2312" w:hAnsi="仿宋" w:eastAsia="楷体_GB2312"/>
          <w:color w:val="000000"/>
          <w:sz w:val="24"/>
          <w:highlight w:val="none"/>
        </w:rPr>
        <w:t>导致</w:t>
      </w:r>
      <w:r>
        <w:rPr>
          <w:rFonts w:hint="eastAsia" w:ascii="楷体_GB2312" w:hAnsi="宋体" w:eastAsia="楷体_GB2312"/>
          <w:color w:val="000000"/>
          <w:sz w:val="24"/>
          <w:highlight w:val="none"/>
        </w:rPr>
        <w:t>单一投资者持有份额超过本理财产品总份额的50%</w:t>
      </w:r>
      <w:r>
        <w:rPr>
          <w:rFonts w:hint="eastAsia" w:ascii="楷体_GB2312" w:hAnsi="宋体" w:eastAsia="楷体_GB2312"/>
          <w:color w:val="000000"/>
          <w:sz w:val="24"/>
          <w:highlight w:val="none"/>
          <w:lang w:val="en-US" w:eastAsia="zh-CN"/>
        </w:rPr>
        <w:t>的</w:t>
      </w:r>
      <w:r>
        <w:rPr>
          <w:rFonts w:hint="eastAsia" w:ascii="楷体_GB2312" w:hAnsi="仿宋" w:eastAsia="楷体_GB2312"/>
          <w:color w:val="000000"/>
          <w:sz w:val="24"/>
          <w:highlight w:val="none"/>
        </w:rPr>
        <w:t>申购申请，</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管理人有权拒绝接受或部分接受，确保单一投资者持有份额不超过</w:t>
      </w:r>
      <w:r>
        <w:rPr>
          <w:rFonts w:hint="eastAsia" w:ascii="楷体_GB2312" w:hAnsi="宋体" w:eastAsia="楷体_GB2312"/>
          <w:color w:val="000000"/>
          <w:sz w:val="24"/>
          <w:highlight w:val="none"/>
        </w:rPr>
        <w:t>本理财产品总份额的50%</w:t>
      </w:r>
      <w:r>
        <w:rPr>
          <w:rFonts w:hint="eastAsia" w:ascii="楷体_GB2312" w:hAnsi="仿宋" w:eastAsia="楷体_GB2312"/>
          <w:color w:val="000000"/>
          <w:sz w:val="24"/>
          <w:highlight w:val="none"/>
        </w:rPr>
        <w:t>。</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numPr>
          <w:ilvl w:val="-1"/>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（不含）之前提出的申购申请，申购申请日为开放日当日，产品管理人在开放日的下一个交易日对满足条件的有效申购申请予以确认；投资者在开放日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申购申请，申购申请日为投资者提出申购申请之后的产品最近一个开放日，产品管理人将在投资者提出申购申请之后的产品最近一个开放日的下一个交易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确认投资者申购申请的，投资者自申购确认日起持有本理财产品份额。投资者实际申购份额以产品管理人确认份额为准。申购份额=申购金额÷申购价格，申购价格为申购申请日的产品单位净值，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（不含）之前提出的赎回申请，赎回申请日为开放日当日，产品管理人在开放日的下一个交易日对满足条件的有效赎回申请予以确认；投资者在开放日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赎回申请，赎回申请日为投资者提出赎回申请之后的产品最近一个开放日，产品管理人将在投资者提出赎回申请之后的产品最近一个开放日的下一个交易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产品管理人确认份额为准，赎回金额=赎回份额×赎回价格，赎回价格为赎回申请日的产品单位净值，赎回金额以四舍五入的方法保留到小数点后两位。产品管理人确认投资者赎回申请的，投资者自赎回确认日起不再持有本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2"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bookmarkEnd w:id="2"/>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w:t>
      </w:r>
      <w:r>
        <w:rPr>
          <w:rFonts w:hint="eastAsia" w:ascii="楷体_GB2312" w:hAnsi="仿宋" w:eastAsia="楷体_GB2312"/>
          <w:color w:val="000000"/>
          <w:sz w:val="24"/>
          <w:highlight w:val="none"/>
          <w:lang w:val="en-US" w:eastAsia="zh-CN"/>
        </w:rPr>
        <w:t>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2.为保护投资者利益，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3"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3"/>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Arial" w:eastAsia="楷体_GB2312"/>
          <w:b w:val="0"/>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本理财产品暂不收取赎回费用。</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rPr>
        <w:t>）收益分配原则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1.每一产品份额享有同等分配权；</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可供分配利润为本理财产品权益登记日（如有）未分配利润与未分配利润中的已实现部分的孰低数，其中权益登记日为登记享有分红权益的理财份额的日期；</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3.本理财</w:t>
      </w:r>
      <w:r>
        <w:rPr>
          <w:rFonts w:ascii="楷体_GB2312" w:hAnsi="宋体" w:eastAsia="楷体_GB2312"/>
          <w:color w:val="000000"/>
          <w:sz w:val="24"/>
          <w:highlight w:val="none"/>
        </w:rPr>
        <w:t>产品投资当期出现亏损，则不进行收益分配</w:t>
      </w:r>
      <w:r>
        <w:rPr>
          <w:rFonts w:hint="eastAsia" w:ascii="楷体_GB2312" w:hAnsi="宋体" w:eastAsia="楷体_GB2312"/>
          <w:color w:val="000000"/>
          <w:sz w:val="24"/>
          <w:highlight w:val="none"/>
        </w:rPr>
        <w:t>；</w:t>
      </w:r>
    </w:p>
    <w:p>
      <w:pPr>
        <w:numPr>
          <w:ilvl w:val="0"/>
          <w:numId w:val="0"/>
        </w:num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4.本理财</w:t>
      </w:r>
      <w:r>
        <w:rPr>
          <w:rFonts w:hint="eastAsia" w:ascii="楷体_GB2312" w:hAnsi="宋体" w:eastAsia="楷体_GB2312"/>
          <w:color w:val="000000"/>
          <w:sz w:val="24"/>
          <w:highlight w:val="none"/>
        </w:rPr>
        <w:t>产品收益分配后产品份额净值不能低于产品单位面值。</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p>
    <w:p>
      <w:pPr>
        <w:ind w:firstLine="480" w:firstLineChars="200"/>
        <w:rPr>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理财产品收益分配方案由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管理人拟订，由托管人复核，并于收益分配后的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个工作日内由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snapToGrid w:val="0"/>
        <w:ind w:firstLine="472" w:firstLineChars="196"/>
        <w:rPr>
          <w:rFonts w:hint="eastAsia" w:ascii="楷体_GB2312" w:hAnsi="宋体" w:eastAsia="楷体_GB2312"/>
          <w:b/>
          <w:color w:val="000000"/>
          <w:sz w:val="24"/>
          <w:highlight w:val="none"/>
        </w:rPr>
      </w:pPr>
      <w:r>
        <w:rPr>
          <w:rFonts w:hint="eastAsia" w:ascii="楷体_GB2312" w:hAnsi="宋体" w:eastAsia="楷体_GB2312"/>
          <w:b/>
          <w:color w:val="000000"/>
          <w:sz w:val="24"/>
          <w:highlight w:val="none"/>
        </w:rPr>
        <w:t>业绩比较基准为</w:t>
      </w:r>
      <w:r>
        <w:rPr>
          <w:rFonts w:hint="eastAsia" w:ascii="楷体_GB2312" w:hAnsi="宋体" w:eastAsia="楷体_GB2312"/>
          <w:b/>
          <w:color w:val="000000"/>
          <w:sz w:val="24"/>
          <w:highlight w:val="none"/>
          <w:lang w:val="en-US" w:eastAsia="zh-CN"/>
        </w:rPr>
        <w:t>产品</w:t>
      </w:r>
      <w:r>
        <w:rPr>
          <w:rFonts w:hint="eastAsia" w:ascii="楷体_GB2312" w:hAnsi="宋体" w:eastAsia="楷体_GB2312"/>
          <w:b/>
          <w:color w:val="000000"/>
          <w:sz w:val="24"/>
          <w:highlight w:val="none"/>
        </w:rPr>
        <w:t>管理人制定收益分配方案的参照基础</w:t>
      </w:r>
      <w:r>
        <w:rPr>
          <w:rFonts w:hint="eastAsia" w:ascii="楷体_GB2312" w:hAnsi="宋体" w:eastAsia="楷体_GB2312"/>
          <w:b/>
          <w:color w:val="000000"/>
          <w:sz w:val="24"/>
          <w:highlight w:val="none"/>
          <w:lang w:eastAsia="zh-CN"/>
        </w:rPr>
        <w:t>，</w:t>
      </w:r>
      <w:r>
        <w:rPr>
          <w:rFonts w:hint="eastAsia" w:ascii="楷体_GB2312" w:hAnsi="宋体" w:eastAsia="楷体_GB2312"/>
          <w:b/>
          <w:color w:val="000000"/>
          <w:sz w:val="24"/>
          <w:highlight w:val="none"/>
        </w:rPr>
        <w:t>仅供</w:t>
      </w:r>
      <w:r>
        <w:rPr>
          <w:rFonts w:hint="eastAsia" w:ascii="楷体_GB2312" w:hAnsi="宋体" w:eastAsia="楷体_GB2312"/>
          <w:b/>
          <w:color w:val="000000"/>
          <w:sz w:val="24"/>
          <w:highlight w:val="none"/>
          <w:lang w:val="en-US" w:eastAsia="zh-CN"/>
        </w:rPr>
        <w:t>投资者</w:t>
      </w:r>
      <w:r>
        <w:rPr>
          <w:rFonts w:hint="eastAsia" w:ascii="楷体_GB2312" w:hAnsi="宋体" w:eastAsia="楷体_GB2312"/>
          <w:b/>
          <w:color w:val="000000"/>
          <w:sz w:val="24"/>
          <w:highlight w:val="none"/>
        </w:rPr>
        <w:t>参考，并不构成</w:t>
      </w:r>
      <w:r>
        <w:rPr>
          <w:rFonts w:hint="eastAsia" w:ascii="楷体_GB2312" w:hAnsi="宋体" w:eastAsia="楷体_GB2312"/>
          <w:b/>
          <w:color w:val="000000"/>
          <w:sz w:val="24"/>
          <w:highlight w:val="none"/>
          <w:lang w:val="en-US" w:eastAsia="zh-CN"/>
        </w:rPr>
        <w:t>产品管理人</w:t>
      </w:r>
      <w:r>
        <w:rPr>
          <w:rFonts w:hint="eastAsia" w:ascii="楷体_GB2312" w:hAnsi="宋体" w:eastAsia="楷体_GB2312"/>
          <w:b/>
          <w:color w:val="000000"/>
          <w:sz w:val="24"/>
          <w:highlight w:val="none"/>
        </w:rPr>
        <w:t>对投资本金不受损失或者取得最低投资收益的承诺。</w:t>
      </w:r>
    </w:p>
    <w:p>
      <w:pPr>
        <w:snapToGrid w:val="0"/>
        <w:ind w:firstLine="472" w:firstLineChars="196"/>
      </w:pPr>
      <w:r>
        <w:rPr>
          <w:rFonts w:hint="eastAsia" w:ascii="楷体_GB2312" w:hAnsi="宋体" w:eastAsia="楷体_GB2312"/>
          <w:b/>
          <w:color w:val="000000"/>
          <w:sz w:val="24"/>
          <w:highlight w:val="none"/>
          <w:u w:val="none"/>
        </w:rPr>
        <w:t>在符合法律法规及</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理财产品销售文件约定，并对</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理财产品投资者利益无实质不利影响的前提下，产品管理人可提前</w:t>
      </w:r>
      <w:r>
        <w:rPr>
          <w:rFonts w:hint="eastAsia" w:ascii="楷体_GB2312" w:hAnsi="宋体" w:eastAsia="楷体_GB2312"/>
          <w:b/>
          <w:color w:val="000000"/>
          <w:sz w:val="24"/>
          <w:highlight w:val="none"/>
          <w:u w:val="none"/>
          <w:lang w:val="en-US" w:eastAsia="zh-CN"/>
        </w:rPr>
        <w:t>1</w:t>
      </w:r>
      <w:r>
        <w:rPr>
          <w:rFonts w:hint="eastAsia" w:ascii="楷体_GB2312" w:hAnsi="宋体" w:eastAsia="楷体_GB2312"/>
          <w:b/>
          <w:color w:val="000000"/>
          <w:sz w:val="24"/>
          <w:highlight w:val="none"/>
          <w:u w:val="none"/>
        </w:rPr>
        <w:t>个工作日通知投资者，</w:t>
      </w:r>
      <w:r>
        <w:rPr>
          <w:rFonts w:hint="eastAsia" w:ascii="楷体_GB2312" w:hAnsi="宋体" w:eastAsia="楷体_GB2312"/>
          <w:b/>
          <w:color w:val="000000"/>
          <w:sz w:val="24"/>
          <w:highlight w:val="none"/>
        </w:rPr>
        <w:t>对</w:t>
      </w:r>
      <w:r>
        <w:rPr>
          <w:rFonts w:hint="eastAsia" w:ascii="楷体_GB2312" w:hAnsi="宋体" w:eastAsia="楷体_GB2312"/>
          <w:b/>
          <w:color w:val="000000"/>
          <w:sz w:val="24"/>
          <w:highlight w:val="none"/>
          <w:lang w:val="en-US" w:eastAsia="zh-CN"/>
        </w:rPr>
        <w:t>本理财产品的收益</w:t>
      </w:r>
      <w:r>
        <w:rPr>
          <w:rFonts w:hint="eastAsia" w:ascii="楷体_GB2312" w:hAnsi="宋体" w:eastAsia="楷体_GB2312"/>
          <w:b/>
          <w:color w:val="000000"/>
          <w:sz w:val="24"/>
          <w:highlight w:val="none"/>
        </w:rPr>
        <w:t>分配</w:t>
      </w:r>
      <w:r>
        <w:rPr>
          <w:rFonts w:hint="eastAsia" w:ascii="楷体_GB2312" w:hAnsi="宋体" w:eastAsia="楷体_GB2312"/>
          <w:b/>
          <w:color w:val="000000"/>
          <w:sz w:val="24"/>
          <w:highlight w:val="none"/>
          <w:lang w:val="en-US" w:eastAsia="zh-CN"/>
        </w:rPr>
        <w:t>原则</w:t>
      </w:r>
      <w:r>
        <w:rPr>
          <w:rFonts w:hint="eastAsia" w:ascii="楷体_GB2312" w:hAnsi="宋体" w:eastAsia="楷体_GB2312"/>
          <w:b/>
          <w:color w:val="000000"/>
          <w:sz w:val="24"/>
          <w:highlight w:val="none"/>
        </w:rPr>
        <w:t>及</w:t>
      </w:r>
      <w:r>
        <w:rPr>
          <w:rFonts w:hint="eastAsia" w:ascii="楷体_GB2312" w:hAnsi="宋体" w:eastAsia="楷体_GB2312"/>
          <w:b/>
          <w:color w:val="000000"/>
          <w:sz w:val="24"/>
          <w:highlight w:val="none"/>
          <w:lang w:val="en-US" w:eastAsia="zh-CN"/>
        </w:rPr>
        <w:t>方案</w:t>
      </w:r>
      <w:r>
        <w:rPr>
          <w:rFonts w:hint="eastAsia" w:ascii="楷体_GB2312" w:hAnsi="宋体" w:eastAsia="楷体_GB2312"/>
          <w:b/>
          <w:color w:val="000000"/>
          <w:sz w:val="24"/>
          <w:highlight w:val="none"/>
        </w:rPr>
        <w:t>进行调整。</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1.在本理财产品终止日，产品管理人将对终止日前一个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日估值后各类份额（如有）的产品资产净值按照投资者持有份额比例对投资者进行分配。</w:t>
      </w:r>
    </w:p>
    <w:p>
      <w:pPr>
        <w:ind w:firstLine="48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投资者最后分配金额=∑投资者持有该类份额比例×产品存续期末该类份额的资产净值。</w:t>
      </w:r>
    </w:p>
    <w:p>
      <w:pPr>
        <w:ind w:firstLine="48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投资者持有该类份额比例=投资者持有该类份额÷产品该类份额总份额。</w:t>
      </w:r>
    </w:p>
    <w:p>
      <w:pPr>
        <w:ind w:firstLine="480"/>
        <w:rPr>
          <w:rFonts w:hint="eastAsia" w:ascii="楷体_GB2312" w:hAnsi="宋体" w:eastAsia="楷体_GB2312"/>
          <w:b w:val="0"/>
          <w:bCs w:val="0"/>
          <w:color w:val="000000"/>
          <w:sz w:val="24"/>
          <w:highlight w:val="none"/>
        </w:rPr>
      </w:pPr>
      <w:r>
        <w:rPr>
          <w:rFonts w:hint="eastAsia" w:ascii="楷体_GB2312" w:hAnsi="宋体" w:eastAsia="楷体_GB2312"/>
          <w:color w:val="000000"/>
          <w:sz w:val="24"/>
          <w:highlight w:val="none"/>
        </w:rPr>
        <w:t>2.自本理财产品终止日（不含）至投资者理财本金及收益到账日（含）之间为本理财产品的清算期。清算期原则上不得超过5个工作日，清算期超过5个工作日的，本理财产品终止日前，产品管理人将提前1个工作日通过本理财产品销售文件约定的信息披露渠道发布相关信息公告通知投资者。本理财产品进入清算期后不再计算投资者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的费用包括销售手续费、固定管理费、托管费以及应当在理财财产中列支的其他费用。</w:t>
      </w:r>
    </w:p>
    <w:p>
      <w:pPr>
        <w:ind w:firstLine="482" w:firstLineChars="200"/>
        <w:rPr>
          <w:rFonts w:hint="eastAsia" w:ascii="楷体_GB2312" w:hAnsi="宋体" w:eastAsia="楷体_GB2312" w:cs="Times New Roman"/>
          <w:b/>
          <w:bCs/>
          <w:color w:val="auto"/>
          <w:sz w:val="24"/>
          <w:highlight w:val="none"/>
        </w:rPr>
      </w:pPr>
      <w:r>
        <w:rPr>
          <w:rFonts w:hint="eastAsia" w:ascii="楷体_GB2312" w:hAnsi="宋体" w:eastAsia="楷体_GB2312" w:cs="Times New Roman"/>
          <w:b/>
          <w:bCs/>
          <w:color w:val="auto"/>
          <w:sz w:val="24"/>
          <w:szCs w:val="24"/>
          <w:highlight w:val="none"/>
          <w:lang w:val="en-US" w:eastAsia="zh-CN"/>
        </w:rPr>
        <w:t>★当每日计算的本理财产品各产品份额类别存在份额为0的情况时，份额为0的产品份额类别不计提当日的</w:t>
      </w:r>
      <w:r>
        <w:rPr>
          <w:rFonts w:hint="eastAsia" w:ascii="楷体_GB2312" w:hAnsi="宋体" w:eastAsia="楷体_GB2312" w:cs="Times New Roman"/>
          <w:b/>
          <w:bCs/>
          <w:color w:val="auto"/>
          <w:sz w:val="24"/>
          <w:szCs w:val="24"/>
          <w:highlight w:val="none"/>
        </w:rPr>
        <w:t>销售手续费、固定管理费</w:t>
      </w:r>
      <w:r>
        <w:rPr>
          <w:rFonts w:hint="eastAsia" w:ascii="楷体_GB2312" w:hAnsi="宋体" w:eastAsia="楷体_GB2312" w:cs="Times New Roman"/>
          <w:b/>
          <w:bCs/>
          <w:color w:val="auto"/>
          <w:sz w:val="24"/>
          <w:szCs w:val="24"/>
          <w:highlight w:val="none"/>
          <w:lang w:val="en-US" w:eastAsia="zh-CN"/>
        </w:rPr>
        <w:t>和</w:t>
      </w:r>
      <w:r>
        <w:rPr>
          <w:rFonts w:hint="eastAsia" w:ascii="楷体_GB2312" w:hAnsi="宋体" w:eastAsia="楷体_GB2312" w:cs="Times New Roman"/>
          <w:b/>
          <w:bCs/>
          <w:color w:val="auto"/>
          <w:sz w:val="24"/>
          <w:szCs w:val="24"/>
          <w:highlight w:val="none"/>
        </w:rPr>
        <w:t>托管费</w:t>
      </w:r>
      <w:r>
        <w:rPr>
          <w:rFonts w:hint="eastAsia" w:ascii="楷体_GB2312" w:hAnsi="宋体" w:eastAsia="楷体_GB2312" w:cs="Times New Roman"/>
          <w:b/>
          <w:bCs/>
          <w:color w:val="auto"/>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r>
        <w:rPr>
          <w:rFonts w:ascii="楷体_GB2312" w:hAnsi="宋体" w:eastAsia="楷体_GB2312"/>
          <w:color w:val="000000"/>
          <w:sz w:val="24"/>
        </w:rPr>
        <w:t>估值中坚持公允价值</w:t>
      </w:r>
      <w:r>
        <w:rPr>
          <w:rFonts w:hint="eastAsia" w:ascii="楷体_GB2312" w:hAnsi="宋体" w:eastAsia="楷体_GB2312"/>
          <w:color w:val="000000"/>
          <w:sz w:val="24"/>
        </w:rPr>
        <w:t>计量原则。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rPr>
      </w:pPr>
      <w:r>
        <w:rPr>
          <w:rFonts w:ascii="楷体_GB2312" w:hAnsi="宋体" w:eastAsia="楷体_GB2312"/>
          <w:color w:val="000000"/>
          <w:sz w:val="24"/>
        </w:rPr>
        <w:t>（四）估值方法</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1.在证券交易所和全国银行间市场交易的标准化债权类资产，可按第三方估值机构（中证、中债等）提供的估值数据进行估值，具体第三方估值机构由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托管人具体协商确定。</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其中，证券交易所上市的标准化债权类资产，第三方估值机构提供的估值价格与收盘价存在差异的，若产品管理人认定交易所收盘价更能体现公允价值，可与产品托管人协商一致后采用收盘价进行估值。如果第三方估值和收盘价都无法准确反馈公允价值的，采用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在证券交易所上市流通的股票，估值日有交易的，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3.未上市期间的有价证券应区分如下情况处理：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送股、转增股、配股和公开增发新股，按估值日在证券交易所挂牌的同一股票的市价（收盘价）估值；如果估值日无交易，且最近交易日后经济环境未发生重大变化且证券发行机构未发生影响证券价格的重大事件的，以最近交易日的市价（收盘价）估值；最近交易日后经济环境发生了重大变化或证券发行机构发生影响证券价格的重大事件的，将参考监管机构或行业协会有关规定，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首次公开发行未上市或未挂牌转让的股票、债券，如果发行日后未发生影响公允价值计量的重大事件的，采用发行价作为公允价值的最佳估计；已发生影响公允价值计量重大事件的，应采用估值技术确定公允价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发行时明确一定期限限售期的股票（包括但不限于非公开发行股票、首次公开发行股票时公司股东公开发售股份、通过大宗交易取得的带限售期的股票等，不包括停牌、新发行未上市、回购交易中的质押等流通受限股票），以同一股票的收盘价为基础，引入流动性折扣进行估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4.交易所上市未实行净价交易的债券按估值日收盘全价或第三方估值机构提供的相应品种当日的估值全价减去收盘价或估值全价中所含的债券应收利息得到的净价进行估值。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5.可转换私募债券和可交换私募债券未转股前按照公允价值估值。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6.在证券交易所及全国中小企业股份转让系统等市场交易的优先股，其交易量及交易频率足以持续提供公允价值信息的，估值日有交易，可按估值日收盘价估值；估值日无交易，且最近交易日后未发生影响公允价值计量的重大事件，可参考该优先股或类似投资品种最近交易日收盘价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不满足上述条件的，可根据优先股的股息支付条款，经产品管理人与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托管人协商，采用现金流折现模型等估值模型，或依据第三方估值机构提供的价格数据确定公允价值。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7.期货、互换、期权、权证等衍生金融工具场内交易以交易所最近交易日结算价或收盘价进行估值，场外交易按照第三方机构（上海清算所等）提供的估值数据、或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管理人认可的估值模型和参数处理模式进行估值。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lang w:val="en-US" w:eastAsia="zh-CN"/>
        </w:rPr>
        <w:t>8.</w:t>
      </w:r>
      <w:r>
        <w:rPr>
          <w:rFonts w:hint="eastAsia" w:ascii="楷体_GB2312" w:hAnsi="宋体" w:eastAsia="楷体_GB2312"/>
          <w:color w:val="000000"/>
          <w:sz w:val="24"/>
        </w:rPr>
        <w:t>公募基金类资产按照本理财产品所投资的公募基金以估值日公布的产品单位净值进行估值，估值日产品单位净值未公布的，以最近一个工作日产品单位净值计算。其中，货币市场基金单位价值按1.0000计算，逐日计提收益。货币式基金的待分配收益在估值日没有转为份额的，按估值日前一交易日基金管理公司披露的每万份收益计提。交易所基金(包括封闭式基金、上市开放式基金（LOF）、交易型开放式指数基金（ETF）等)，按估值日其所在证券交易所的收盘价估值；估值日无交易的，以最近交易日的收盘价估值；如果估值日无交易，且最近交易日后经济环境发生了重大变化的，将参考监管机构或行业协会有关规定，或者类似投资品种的现行市价及重大变化因素，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9.未上市基金估值：境内未上市的货币市场基金以成本估值，估值日按基金公布的最新万份收益计提红利；境内未上市的非货币市场基金，估值日按所投资基金公布的最新份额净值估值。当日未公布的，以最近能获取的基金份额净值为准。若投资为私募股权投资基金，可由基金管理人提供估值净值数据，如基金管理人不提供估值的，可采用第三方机构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10.各类资产管理计划、结构性存款、结构性票据，以资产管理计划的管理人、结构性存款和结构性票据的发行人和托管人共同确认的净值或投资收益情况进行估值。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11.债券回购和拆借按本金列示，逐日计提利息。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12.银行存款以每个估值日以本金列示，逐日计提利息。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13.非上市股权类资产，通常不存在活跃报价的交易市场，由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管理人通过其认可的估值方法和技术进行估值。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14.若本理财产品存续期间持有其他投资品种，以</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共同认可的方法估值。以摊余成本法计量或以公允价值计量且其变动计入其他综合收益的资产，需要采用第三方减值计量结果或模型进行减值计提。计提减值不代表金融资产已发生损失，仅为对未来风险的审慎预期。</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15.在任何情况下，如采用以上规定的方法对资产进行估值，均应被认为采用了适当的估值方法。但是，如果</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托管人认为按以上规定的方法对产品资产进行估值不能客观反映其公允价值的，可提出异议，协商一致后，变更公允价值的确定方式，并从经</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托管人协商一致日起执行。</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16.对于以上估值方法，相关法律法规、监管机构及行业协会有另行规定的，按照最新规定执行。如并无明确规定和要求的，由产品管理人与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rPr>
      </w:pPr>
      <w:r>
        <w:rPr>
          <w:rFonts w:ascii="楷体_GB2312" w:hAnsi="宋体" w:eastAsia="楷体_GB2312"/>
          <w:b/>
          <w:color w:val="000000"/>
          <w:sz w:val="24"/>
        </w:rPr>
        <w:t>十一、</w:t>
      </w:r>
      <w:r>
        <w:rPr>
          <w:rFonts w:hint="eastAsia" w:ascii="楷体_GB2312" w:hAnsi="宋体" w:eastAsia="楷体_GB2312"/>
          <w:b/>
          <w:color w:val="000000"/>
          <w:sz w:val="24"/>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4"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4"/>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的信息披露渠道为代销机构电子渠道、北银理财有限责任公司官方网站、中国理财网或监管机构认可的其他公开渠道，投资者可通过上述渠道查询本理财产品相关信息，在保障投资者知情权的前提下，产品管理人保留变更信息披露渠道的权利。相关信息自公告之日即视为已送达投资者且产品管理人已适当履行其信息披露义务。</w:t>
      </w:r>
      <w:r>
        <w:rPr>
          <w:rFonts w:hint="eastAsia" w:ascii="楷体_GB2312" w:hAnsi="宋体" w:eastAsia="楷体_GB2312"/>
          <w:b/>
          <w:bCs/>
          <w:color w:val="000000"/>
          <w:sz w:val="24"/>
          <w:highlight w:val="none"/>
          <w:lang w:eastAsia="zh-CN"/>
        </w:rPr>
        <w:t>如投资者未适时查询，或由于不可抗力及/或意外事件的影响使得投资者无法了解本理财产品信息，并由此影响投资者的投资决策，因此而产生责任和风险由投资者自行承担</w:t>
      </w:r>
      <w:r>
        <w:rPr>
          <w:rFonts w:hint="eastAsia" w:ascii="楷体_GB2312" w:hAnsi="宋体" w:eastAsia="楷体_GB2312"/>
          <w:color w:val="000000"/>
          <w:sz w:val="24"/>
          <w:highlight w:val="none"/>
          <w:lang w:eastAsia="zh-CN"/>
        </w:rPr>
        <w:t>。</w:t>
      </w:r>
    </w:p>
    <w:p>
      <w:pPr>
        <w:ind w:firstLine="480" w:firstLineChars="200"/>
        <w:rPr>
          <w:rStyle w:val="21"/>
          <w:b/>
          <w:bCs/>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十二、相关机构的概况</w:t>
      </w:r>
    </w:p>
    <w:p>
      <w:pPr>
        <w:ind w:firstLine="480" w:firstLineChars="200"/>
        <w:rPr>
          <w:rFonts w:ascii="楷体_GB2312" w:hAnsi="宋体" w:eastAsia="楷体_GB2312"/>
          <w:color w:val="000000"/>
          <w:sz w:val="24"/>
        </w:rPr>
      </w:pPr>
      <w:r>
        <w:rPr>
          <w:rFonts w:ascii="楷体_GB2312" w:hAnsi="宋体" w:eastAsia="楷体_GB2312"/>
          <w:color w:val="000000"/>
          <w:sz w:val="24"/>
        </w:rPr>
        <w:t>（一）</w:t>
      </w:r>
      <w:r>
        <w:rPr>
          <w:rFonts w:hint="eastAsia" w:ascii="楷体_GB2312" w:hAnsi="宋体" w:eastAsia="楷体_GB2312"/>
          <w:color w:val="000000"/>
          <w:sz w:val="24"/>
        </w:rPr>
        <w:t>产品托管机构的基本信息和主要职责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w:t>
      </w:r>
      <w:r>
        <w:rPr>
          <w:rFonts w:hint="eastAsia" w:ascii="楷体_GB2312" w:hAnsi="宋体" w:eastAsia="楷体_GB2312"/>
          <w:color w:val="000000"/>
          <w:sz w:val="24"/>
          <w:lang w:val="en-US" w:eastAsia="zh-CN"/>
        </w:rPr>
        <w:t>产品</w:t>
      </w:r>
      <w:r>
        <w:rPr>
          <w:rFonts w:ascii="楷体_GB2312" w:hAnsi="宋体" w:eastAsia="楷体_GB2312"/>
          <w:color w:val="000000"/>
          <w:sz w:val="24"/>
        </w:rPr>
        <w:t>托管人基本信息</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名称：</w:t>
      </w:r>
      <w:r>
        <w:rPr>
          <w:rFonts w:hint="eastAsia" w:ascii="楷体_GB2312" w:hAnsi="宋体" w:eastAsia="楷体_GB2312"/>
          <w:color w:val="000000"/>
          <w:sz w:val="24"/>
        </w:rPr>
        <w:t>北京银行股份有限公司</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rPr>
        <w:t>霍学文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注册地址：</w:t>
      </w:r>
      <w:r>
        <w:rPr>
          <w:rFonts w:hint="eastAsia" w:ascii="楷体_GB2312" w:hAnsi="宋体" w:eastAsia="楷体_GB2312"/>
          <w:color w:val="000000"/>
          <w:sz w:val="24"/>
        </w:rPr>
        <w:t>北京市西城区金融大街甲</w:t>
      </w:r>
      <w:r>
        <w:rPr>
          <w:rFonts w:ascii="楷体_GB2312" w:hAnsi="宋体" w:eastAsia="楷体_GB2312"/>
          <w:color w:val="000000"/>
          <w:sz w:val="24"/>
        </w:rPr>
        <w:t>17</w:t>
      </w:r>
      <w:r>
        <w:rPr>
          <w:rFonts w:hint="eastAsia" w:ascii="楷体_GB2312" w:hAnsi="宋体" w:eastAsia="楷体_GB2312"/>
          <w:color w:val="000000"/>
          <w:sz w:val="24"/>
        </w:rPr>
        <w:t>号首层</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产品管理人在此特别披露：</w:t>
      </w:r>
      <w:r>
        <w:rPr>
          <w:rFonts w:hint="eastAsia" w:ascii="楷体_GB2312" w:hAnsi="宋体" w:eastAsia="楷体_GB2312"/>
          <w:color w:val="000000"/>
          <w:sz w:val="24"/>
          <w:highlight w:val="none"/>
          <w:lang w:val="en-US" w:eastAsia="zh-CN"/>
        </w:rPr>
        <w:t>产品托管人为产品管理人的关联方，产品管理人聘请其担任产品托管人已履行了现行法律法规和监管规定所规定必须履行的程序,产品管理人、投资者同意并接受本理财产品由产品托管人托管。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5" w:name="_Hlk146059360"/>
      <w:r>
        <w:rPr>
          <w:rFonts w:hint="eastAsia" w:ascii="楷体_GB2312" w:hAnsi="宋体" w:eastAsia="楷体_GB2312"/>
          <w:color w:val="000000"/>
          <w:sz w:val="24"/>
          <w:highlight w:val="none"/>
        </w:rPr>
        <w:t>法律法规规定、</w:t>
      </w:r>
      <w:bookmarkEnd w:id="5"/>
      <w:r>
        <w:rPr>
          <w:rFonts w:hint="eastAsia" w:ascii="楷体_GB2312" w:hAnsi="宋体" w:eastAsia="楷体_GB2312"/>
          <w:color w:val="000000"/>
          <w:sz w:val="24"/>
          <w:highlight w:val="none"/>
        </w:rPr>
        <w:t>国务院银行业监督管理机构规定</w:t>
      </w:r>
      <w:bookmarkStart w:id="6"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6"/>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二</w:t>
      </w:r>
      <w:r>
        <w:rPr>
          <w:rFonts w:ascii="楷体_GB2312" w:hAnsi="宋体" w:eastAsia="楷体_GB2312"/>
          <w:color w:val="000000"/>
          <w:sz w:val="24"/>
        </w:rPr>
        <w:t>）</w:t>
      </w:r>
      <w:r>
        <w:rPr>
          <w:rFonts w:hint="eastAsia" w:ascii="楷体_GB2312" w:hAnsi="宋体" w:eastAsia="楷体_GB2312"/>
          <w:color w:val="000000"/>
          <w:sz w:val="24"/>
        </w:rPr>
        <w:t>产品代销机构的基本信息和主要职责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1.代销机构基本信息</w:t>
      </w:r>
    </w:p>
    <w:p>
      <w:pPr>
        <w:ind w:firstLine="480" w:firstLineChars="200"/>
        <w:rPr>
          <w:rFonts w:hint="default" w:ascii="楷体_GB2312" w:eastAsia="楷体_GB2312"/>
          <w:bCs/>
          <w:color w:val="auto"/>
          <w:sz w:val="24"/>
          <w:lang w:val="en-US" w:eastAsia="zh-CN"/>
        </w:rPr>
      </w:pPr>
      <w:r>
        <w:rPr>
          <w:rFonts w:hint="eastAsia" w:ascii="楷体_GB2312" w:eastAsia="楷体_GB2312"/>
          <w:bCs/>
          <w:color w:val="auto"/>
          <w:sz w:val="24"/>
          <w:lang w:val="en-US" w:eastAsia="zh-CN"/>
        </w:rPr>
        <w:t>A</w:t>
      </w:r>
      <w:r>
        <w:rPr>
          <w:rFonts w:hint="eastAsia" w:ascii="楷体_GB2312" w:eastAsia="楷体_GB2312"/>
          <w:bCs/>
          <w:color w:val="auto"/>
          <w:sz w:val="24"/>
          <w:lang w:eastAsia="zh-CN"/>
        </w:rPr>
        <w:t>类份额、</w:t>
      </w:r>
      <w:r>
        <w:rPr>
          <w:rFonts w:hint="eastAsia" w:ascii="楷体_GB2312" w:eastAsia="楷体_GB2312"/>
          <w:bCs/>
          <w:color w:val="auto"/>
          <w:sz w:val="24"/>
          <w:lang w:val="en-US" w:eastAsia="zh-CN"/>
        </w:rPr>
        <w:t>B类份额、浙BA类份额</w:t>
      </w:r>
      <w:r>
        <w:rPr>
          <w:rFonts w:hint="eastAsia" w:ascii="楷体_GB2312" w:eastAsia="楷体_GB2312"/>
          <w:bCs/>
          <w:color w:val="auto"/>
          <w:sz w:val="24"/>
          <w:lang w:eastAsia="zh-CN"/>
        </w:rPr>
        <w:t>：</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浙江龙游农村商业银行股份有限公司（以下简称“龙游农商银行”）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宋利剑</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注册地址：浙江省衢州市龙游县龙洲街道荣昌大道683、685、687号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浙江青田农村商业银行股份有限公司（以下简称“青田农商银行”）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法定代表人：汤伟强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注册地址：浙江省青田县鹤城街道鹤城东路180号</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浙江德清农村商业银行股份有限公司（以下简称“德清农商银行”）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法定代表人：丁爱平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注册地址：浙江省德清县武康街道沈长圩街50号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浙江台州路桥农村商业银行股份有限公司（以下简称“台州农商银行”）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法定代表人：罗洋明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注册地址：浙江省台州市路桥区路北街道中心大道5789号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浙江龙泉农村商业银行股份有限公司（以下简称“龙泉农商银行”）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法定代表人：刘紫波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注册地址：浙江省丽水市龙泉市龙渊街道中山东路101号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浙江绍兴瑞丰农村商业银行股份有限公司（以下简称“瑞丰农商银行”）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法定代表人：吴智晖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注册地址：浙江省绍兴市柯桥区柯桥笛扬路1363号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浙江舟山普陀农村商业银行股份有限公司（以下简称“普陀农商银行”）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法定代表人：缪军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注册地址：浙江省舟山市普陀区东港街道麒麟街225号（自贸试验区内）</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浙江建德农村商业银行股份有限公司（以下简称“建德农商银行”）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法定代表人：王锦芳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注册地址：浙江省建德市新安江街道江滨中路176号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浙江嵊州农村商业银行股份有限公司（以下简称“嵊州农商银行”）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法定代表人：林枫</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注册地址：浙江省嵊州市剡湖街道官河路398号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宁波慈溪农村商业银行股份有限公司（以下简称“慈溪农商银行”）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法定代表人：沈雨风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注册地址：浙江省慈溪市浒山街道南城路25号、59号5-6层</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浙江浦江农村商业银行股份有限公司（以下简称“浦江农商银行”）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法定代表人：陈文斌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注册地址：浙江省浦江县人民东路90号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浙江平湖农村商业银行股份有限公司（以下简称“平湖农商银行”）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法定代表人：李九良</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注册地址：浙江省平湖市当湖街道胜利路518号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杭州联合农村商业银行股份有限公司（以下简称“杭州联合银行”）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注册地址：浙江省杭州市上城区建国中路99号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浙江诸暨农村商业银行股份有限公司（以下简称“诸暨农商银行”）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法定代表人：潘金波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注册地址：浙江省诸暨市暨阳街道大桥东路2号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宁波余姚农村商业银行股份有限公司（以下简称“余姚农商银行”）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孙</w:t>
      </w:r>
      <w:r>
        <w:rPr>
          <w:rFonts w:hint="eastAsia" w:ascii="楷体_GB2312" w:hAnsi="宋体" w:eastAsia="楷体_GB2312"/>
          <w:color w:val="000000"/>
          <w:sz w:val="24"/>
          <w:highlight w:val="none"/>
        </w:rPr>
        <w:t>继峰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注册地址：浙江省余姚市新建路69号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浙江上虞农村商业银行股份有限公司（以下简称“上虞农商银行”）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法定代表人：陆斌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注册地址：浙江省绍兴市上虞区百官街道德盛路55号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浙江富阳农村商业银行股份有限公司（以下简称“富阳农商银行”）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法定代表人：赖立明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注册地址：浙江省杭州市富阳区依江路501号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浙江衢州柯城农村商业银行股份有限公司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法定代表人：王洪君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注册地址：浙江省衢州市柯城区上街92号三楼零售金融部</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浙江松阳农村商业银行股份有限公司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法定代表人：郑旭勇</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注册地址：浙江省丽水市松阳县水南街道要津南路71号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代销机构名称：浙江江山农村商业银行股份有限公司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法定代表人：祝春凰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注册地址：浙江省江山市江滨路188号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代销机构名称：浙江义乌农村商业银行股份有限公司（以下简称“义乌农商银行”）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法定代表人：吴志良</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注册地址：浙江省义乌市福田街道城北路677号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代销机构名称：浙江桐庐农村商业银行股份有限公司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法定代表人：杨妙清</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注册地址：浙江省杭州市桐庐县城迎春南路278号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代销机构名称：浙江新昌农村商业银行股份有限公司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法定代表人：陈一峰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注册地址：浙江省新昌县七星街道七星路18号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代销机构名称：浙江衢州衢江农村商业银行股份有限公司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法定代表人：郑坚伟</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注册地址：浙江省衢州市衢江区樟潭街道信安东路37号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25）</w:t>
      </w:r>
      <w:r>
        <w:rPr>
          <w:rFonts w:hint="eastAsia" w:ascii="楷体_GB2312" w:hAnsi="宋体" w:eastAsia="楷体_GB2312"/>
          <w:color w:val="000000"/>
          <w:sz w:val="24"/>
          <w:highlight w:val="none"/>
        </w:rPr>
        <w:t>代销机构名称：</w:t>
      </w:r>
      <w:r>
        <w:rPr>
          <w:rFonts w:hint="eastAsia" w:ascii="楷体_GB2312" w:hAnsi="宋体" w:eastAsia="楷体_GB2312"/>
          <w:color w:val="000000"/>
          <w:sz w:val="24"/>
          <w:highlight w:val="none"/>
          <w:lang w:val="en-US" w:eastAsia="zh-CN"/>
        </w:rPr>
        <w:t>浙江临安农村商业银行股份有限公司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法定代表人：张远明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注册地址：浙江省杭州市临安区锦城街道城中街442号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26）</w:t>
      </w:r>
      <w:r>
        <w:rPr>
          <w:rFonts w:hint="eastAsia" w:ascii="楷体_GB2312" w:hAnsi="宋体" w:eastAsia="楷体_GB2312"/>
          <w:color w:val="000000"/>
          <w:sz w:val="24"/>
          <w:highlight w:val="none"/>
        </w:rPr>
        <w:t>代销机构名称：</w:t>
      </w:r>
      <w:r>
        <w:rPr>
          <w:rFonts w:hint="eastAsia" w:ascii="楷体_GB2312" w:hAnsi="宋体" w:eastAsia="楷体_GB2312"/>
          <w:color w:val="000000"/>
          <w:sz w:val="24"/>
          <w:highlight w:val="none"/>
          <w:lang w:val="en-US" w:eastAsia="zh-CN"/>
        </w:rPr>
        <w:t>浙江萧山农村商业银行股份有限公司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注册地址：浙江省杭州市萧山区盈丰街道鸿宁路2288号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28）</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eastAsia="zh-CN"/>
        </w:rPr>
        <w:t>浙江温岭农村商业银行股份有限公司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注册地址：浙江省台州市温岭市城东街道下保路100号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29）</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eastAsia="zh-CN"/>
        </w:rPr>
        <w:t>浙江长兴农村商业银行股份有限公司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法定代表人：邱全民</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注册地址：浙江省湖州市长兴县太湖街道明珠路1298号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30）</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rPr>
        <w:t>浙江兰溪农村商业银行股份有限公司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法定代表人：黄领</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注册地址：浙江省兰溪市兰江街道丹西大道18号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31）</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浙江杭州余杭农村商业银行股份有限公司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法定代表人：朱晓龙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注册地址：浙江省杭州市临平区南苑街道南大街72号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32）</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浙江缙云农村商业银行股份有限公司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法定代表人：蓝礼华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注册地址：浙江省丽水市缙云县五云镇新区仙都路68号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33）</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浙江海宁农村商业银行股份有限公司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法定代表人：徐峻</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注册地址：浙江省海宁市海洲街道钱江西路278号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34）</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rPr>
        <w:t>浙江桐乡农村商业银行股份有限公司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法定代表人：徐峻</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注册地址：浙江省嘉兴市桐乡市梧桐街道校场东路59号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numPr>
          <w:ilvl w:val="0"/>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35）</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浙江仙居农村商业银行股份有限公司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法定代表人：李挺</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注册地址：浙江省仙居县南峰街道穿城中路21号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numPr>
          <w:ilvl w:val="0"/>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36）</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浙江遂昌农村商业银行股份有限公司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法定代表人：林小勇</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注册地址：浙江省丽水市遂昌县妙高街道溪边路100号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numPr>
          <w:ilvl w:val="0"/>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37）</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浙江丽水莲都农村商业银行股份有限公司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法定代表人：刘俊毅</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注册地址：浙江省丽水市莲都区解放街438号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widowControl/>
        <w:ind w:firstLine="480" w:firstLineChars="200"/>
        <w:jc w:val="left"/>
        <w:rPr>
          <w:rFonts w:ascii="楷体_GB2312" w:hAnsi="楷体" w:eastAsia="楷体_GB2312"/>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7" w:name="_Hlk146059378"/>
      <w:r>
        <w:rPr>
          <w:rFonts w:hint="eastAsia" w:ascii="楷体_GB2312" w:hAnsi="宋体" w:eastAsia="楷体_GB2312"/>
          <w:color w:val="000000"/>
          <w:sz w:val="24"/>
          <w:highlight w:val="none"/>
        </w:rPr>
        <w:t>、国务院银行业监督管理机构规定</w:t>
      </w:r>
      <w:bookmarkEnd w:id="7"/>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bookmarkStart w:id="8" w:name="_GoBack"/>
      <w:bookmarkEnd w:id="8"/>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FAA2D"/>
    <w:multiLevelType w:val="singleLevel"/>
    <w:tmpl w:val="0C5FAA2D"/>
    <w:lvl w:ilvl="0" w:tentative="0">
      <w:start w:val="1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4D"/>
    <w:rsid w:val="00FC796E"/>
    <w:rsid w:val="00FD02F6"/>
    <w:rsid w:val="00FD2F6B"/>
    <w:rsid w:val="00FD5F1B"/>
    <w:rsid w:val="00FD61D0"/>
    <w:rsid w:val="00FE1DB6"/>
    <w:rsid w:val="00FF1667"/>
    <w:rsid w:val="0106671B"/>
    <w:rsid w:val="01374E54"/>
    <w:rsid w:val="013B4944"/>
    <w:rsid w:val="01F66A58"/>
    <w:rsid w:val="021F2974"/>
    <w:rsid w:val="02536363"/>
    <w:rsid w:val="028D1981"/>
    <w:rsid w:val="0370113C"/>
    <w:rsid w:val="042D3AC1"/>
    <w:rsid w:val="044D11B2"/>
    <w:rsid w:val="04A80419"/>
    <w:rsid w:val="04AE10ED"/>
    <w:rsid w:val="0504144A"/>
    <w:rsid w:val="05966E7A"/>
    <w:rsid w:val="05BF5990"/>
    <w:rsid w:val="05F01773"/>
    <w:rsid w:val="0714394A"/>
    <w:rsid w:val="07507D94"/>
    <w:rsid w:val="07832498"/>
    <w:rsid w:val="088F4C22"/>
    <w:rsid w:val="0A1C34D3"/>
    <w:rsid w:val="0A7C6626"/>
    <w:rsid w:val="0A7E5B69"/>
    <w:rsid w:val="0A8B01B5"/>
    <w:rsid w:val="0AE700DE"/>
    <w:rsid w:val="0B7B363D"/>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5150275"/>
    <w:rsid w:val="153C40DB"/>
    <w:rsid w:val="1628152E"/>
    <w:rsid w:val="162B35F7"/>
    <w:rsid w:val="163E130D"/>
    <w:rsid w:val="16507D3B"/>
    <w:rsid w:val="16547129"/>
    <w:rsid w:val="179429FE"/>
    <w:rsid w:val="17E21276"/>
    <w:rsid w:val="197F6915"/>
    <w:rsid w:val="198F2EA3"/>
    <w:rsid w:val="19DA32F5"/>
    <w:rsid w:val="1AEC1938"/>
    <w:rsid w:val="1BC340CB"/>
    <w:rsid w:val="1BE40BE2"/>
    <w:rsid w:val="1C4908F7"/>
    <w:rsid w:val="1C630379"/>
    <w:rsid w:val="1D207C54"/>
    <w:rsid w:val="1D343F1A"/>
    <w:rsid w:val="1E254D87"/>
    <w:rsid w:val="1EFB696C"/>
    <w:rsid w:val="1F966CEF"/>
    <w:rsid w:val="206A117F"/>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4218C8"/>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EF6CC3"/>
    <w:rsid w:val="31FA58B6"/>
    <w:rsid w:val="32374347"/>
    <w:rsid w:val="323C077E"/>
    <w:rsid w:val="343C751C"/>
    <w:rsid w:val="358D2569"/>
    <w:rsid w:val="35A20C08"/>
    <w:rsid w:val="35CF32C4"/>
    <w:rsid w:val="37CD5327"/>
    <w:rsid w:val="3826648A"/>
    <w:rsid w:val="385A298F"/>
    <w:rsid w:val="38830A0F"/>
    <w:rsid w:val="389C1598"/>
    <w:rsid w:val="391753D8"/>
    <w:rsid w:val="398163A9"/>
    <w:rsid w:val="3A422681"/>
    <w:rsid w:val="3A6E3B4F"/>
    <w:rsid w:val="3A8D500B"/>
    <w:rsid w:val="3B612EFA"/>
    <w:rsid w:val="3B930AB2"/>
    <w:rsid w:val="3BA85FA7"/>
    <w:rsid w:val="3C177EDB"/>
    <w:rsid w:val="3C2C38C7"/>
    <w:rsid w:val="3CD919AB"/>
    <w:rsid w:val="3D2B63EB"/>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45168"/>
    <w:rsid w:val="4547614C"/>
    <w:rsid w:val="4582210E"/>
    <w:rsid w:val="45C02AB2"/>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426194"/>
    <w:rsid w:val="54512311"/>
    <w:rsid w:val="548E38FF"/>
    <w:rsid w:val="54905820"/>
    <w:rsid w:val="54C066DC"/>
    <w:rsid w:val="552402DA"/>
    <w:rsid w:val="555820B5"/>
    <w:rsid w:val="572E18FD"/>
    <w:rsid w:val="578E488B"/>
    <w:rsid w:val="57C135B2"/>
    <w:rsid w:val="58191195"/>
    <w:rsid w:val="581A4CC0"/>
    <w:rsid w:val="596270B3"/>
    <w:rsid w:val="59757966"/>
    <w:rsid w:val="59CE6345"/>
    <w:rsid w:val="5A3B0686"/>
    <w:rsid w:val="5A882A6A"/>
    <w:rsid w:val="5A9A22F9"/>
    <w:rsid w:val="5AC21DB2"/>
    <w:rsid w:val="5C183BCB"/>
    <w:rsid w:val="5C610FD2"/>
    <w:rsid w:val="5C652FAE"/>
    <w:rsid w:val="5DA15318"/>
    <w:rsid w:val="5DD221CC"/>
    <w:rsid w:val="60887E5E"/>
    <w:rsid w:val="60AB572B"/>
    <w:rsid w:val="60E742FD"/>
    <w:rsid w:val="61E50F12"/>
    <w:rsid w:val="630531DA"/>
    <w:rsid w:val="63661564"/>
    <w:rsid w:val="63EB5A74"/>
    <w:rsid w:val="644436E8"/>
    <w:rsid w:val="64EC5BF4"/>
    <w:rsid w:val="652C5971"/>
    <w:rsid w:val="65766292"/>
    <w:rsid w:val="65E35E14"/>
    <w:rsid w:val="6651210B"/>
    <w:rsid w:val="66935C05"/>
    <w:rsid w:val="66D555F0"/>
    <w:rsid w:val="66FC0D2C"/>
    <w:rsid w:val="672E4672"/>
    <w:rsid w:val="67773C81"/>
    <w:rsid w:val="6810393D"/>
    <w:rsid w:val="682D7901"/>
    <w:rsid w:val="6836676F"/>
    <w:rsid w:val="687938F3"/>
    <w:rsid w:val="6890026C"/>
    <w:rsid w:val="695C7769"/>
    <w:rsid w:val="6A06258C"/>
    <w:rsid w:val="6A1A4CD8"/>
    <w:rsid w:val="6A57315D"/>
    <w:rsid w:val="6B200010"/>
    <w:rsid w:val="6B88487B"/>
    <w:rsid w:val="6C053863"/>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8C7E47"/>
    <w:rsid w:val="77003B40"/>
    <w:rsid w:val="770229FA"/>
    <w:rsid w:val="77156C7D"/>
    <w:rsid w:val="771F4878"/>
    <w:rsid w:val="77D00302"/>
    <w:rsid w:val="77E66B14"/>
    <w:rsid w:val="78134185"/>
    <w:rsid w:val="784C0149"/>
    <w:rsid w:val="78570879"/>
    <w:rsid w:val="793A670D"/>
    <w:rsid w:val="79BA78FA"/>
    <w:rsid w:val="79CE0279"/>
    <w:rsid w:val="7A0849C7"/>
    <w:rsid w:val="7A377612"/>
    <w:rsid w:val="7A3C6949"/>
    <w:rsid w:val="7B8E5C3C"/>
    <w:rsid w:val="7B9A5BD4"/>
    <w:rsid w:val="7BC60E22"/>
    <w:rsid w:val="7C1B3BD2"/>
    <w:rsid w:val="7C8A0DE0"/>
    <w:rsid w:val="7CFD1DAF"/>
    <w:rsid w:val="7D96647C"/>
    <w:rsid w:val="7E08657F"/>
    <w:rsid w:val="7E726B1F"/>
    <w:rsid w:val="7EC61618"/>
    <w:rsid w:val="7F1C2108"/>
    <w:rsid w:val="7F327624"/>
    <w:rsid w:val="7F62241E"/>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26</Pages>
  <Words>26927</Words>
  <Characters>27585</Characters>
  <Lines>267</Lines>
  <Paragraphs>75</Paragraphs>
  <TotalTime>1</TotalTime>
  <ScaleCrop>false</ScaleCrop>
  <LinksUpToDate>false</LinksUpToDate>
  <CharactersWithSpaces>27593</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Administrator</cp:lastModifiedBy>
  <cp:lastPrinted>2022-12-23T14:07:00Z</cp:lastPrinted>
  <dcterms:modified xsi:type="dcterms:W3CDTF">2025-10-23T06:42:35Z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